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1CC7C986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485A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10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63E1063F" w:rsidR="00BC637F" w:rsidRPr="006A6444" w:rsidRDefault="00BC637F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Pr="00F06F9C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3BF1D23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3FC" w14:textId="32621FBA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6DB" w14:textId="1B8F8752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7FD50C9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9D0" w14:textId="77777777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59" w14:textId="3E522B58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оссийской </w:t>
            </w: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</w:p>
        </w:tc>
      </w:tr>
      <w:tr w:rsidR="00BC637F" w:rsidRPr="006A6444" w14:paraId="03A61872" w14:textId="77777777" w:rsidTr="00BC637F">
        <w:tc>
          <w:tcPr>
            <w:tcW w:w="534" w:type="dxa"/>
          </w:tcPr>
          <w:p w14:paraId="399CBF21" w14:textId="796800E7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8F61591" w14:textId="469137FD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402-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79A87F0" w14:textId="77777777" w:rsidTr="00BC637F">
        <w:tc>
          <w:tcPr>
            <w:tcW w:w="534" w:type="dxa"/>
          </w:tcPr>
          <w:p w14:paraId="099B3B0C" w14:textId="25F7920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6048CCE" w14:textId="6A19E588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147B04B" w14:textId="77777777" w:rsidTr="00BC637F">
        <w:tc>
          <w:tcPr>
            <w:tcW w:w="534" w:type="dxa"/>
          </w:tcPr>
          <w:p w14:paraId="4039FF3C" w14:textId="25AB11E8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E5DD882" w14:textId="5DF91308" w:rsidR="00BC637F" w:rsidRPr="00B55B58" w:rsidRDefault="00BC637F" w:rsidP="001D07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06.04.2011 №</w:t>
            </w:r>
            <w:r w:rsidR="001D0723"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63-ФЗ «Об электронной подписи» (ст.2, 6)</w:t>
            </w:r>
          </w:p>
        </w:tc>
      </w:tr>
      <w:tr w:rsidR="00BC637F" w:rsidRPr="006A6444" w14:paraId="04AA4636" w14:textId="77777777" w:rsidTr="00BC637F">
        <w:tc>
          <w:tcPr>
            <w:tcW w:w="534" w:type="dxa"/>
          </w:tcPr>
          <w:p w14:paraId="2EC4FCA8" w14:textId="2EDABD8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6430881" w14:textId="52D26890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BC637F" w:rsidRPr="006A6444" w14:paraId="5C74F3CC" w14:textId="77777777" w:rsidTr="001D0723">
        <w:tc>
          <w:tcPr>
            <w:tcW w:w="534" w:type="dxa"/>
            <w:shd w:val="clear" w:color="auto" w:fill="auto"/>
          </w:tcPr>
          <w:p w14:paraId="123A696D" w14:textId="5BEADFE5" w:rsidR="00BC637F" w:rsidRPr="001D0723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DD5790" w14:textId="18947432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по бухгалтерскому учету </w:t>
            </w:r>
            <w:r w:rsidRPr="001D07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«Учетная политика организации» (</w:t>
            </w: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ПБУ 1/2008) (утверждено Приказом Минфина России от 06.10.2008 №106н)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82FA4A8" w14:textId="77777777" w:rsidTr="00BC637F">
        <w:tc>
          <w:tcPr>
            <w:tcW w:w="534" w:type="dxa"/>
          </w:tcPr>
          <w:p w14:paraId="08D511C7" w14:textId="70C0E201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DB9B3B3" w14:textId="65EB241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9F" w:rsidRPr="006A6444" w14:paraId="31DFB460" w14:textId="77777777" w:rsidTr="00BC637F">
        <w:tc>
          <w:tcPr>
            <w:tcW w:w="534" w:type="dxa"/>
          </w:tcPr>
          <w:p w14:paraId="36C74F01" w14:textId="6C6BE85B" w:rsidR="003B6D9F" w:rsidRPr="00605532" w:rsidRDefault="003B6D9F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6CC9793" w14:textId="4D635B77" w:rsidR="003B6D9F" w:rsidRPr="00605532" w:rsidRDefault="003B6D9F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применению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BC637F" w:rsidRPr="006A6444" w14:paraId="19D9B109" w14:textId="77777777" w:rsidTr="00BC637F">
        <w:tc>
          <w:tcPr>
            <w:tcW w:w="534" w:type="dxa"/>
          </w:tcPr>
          <w:p w14:paraId="74B7ADE8" w14:textId="435AB452" w:rsidR="00BC637F" w:rsidRPr="00605532" w:rsidRDefault="001D0723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6E1795C6" w14:textId="7C14D792" w:rsidR="00BC637F" w:rsidRPr="00605532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13.06.1995 № 49)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B819993" w14:textId="77777777" w:rsidTr="009817A0">
        <w:tc>
          <w:tcPr>
            <w:tcW w:w="534" w:type="dxa"/>
            <w:shd w:val="clear" w:color="auto" w:fill="auto"/>
          </w:tcPr>
          <w:p w14:paraId="621A4B78" w14:textId="534660A7" w:rsidR="00BC637F" w:rsidRPr="009817A0" w:rsidRDefault="00BC637F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0723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F697385" w14:textId="61DA406B" w:rsidR="00BC637F" w:rsidRPr="009817A0" w:rsidRDefault="00BC637F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</w:t>
            </w:r>
            <w:r w:rsidR="000D407E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ушениях от 30.12.2001 №195-ФЗ (с</w:t>
            </w: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т. 15.11.)</w:t>
            </w:r>
          </w:p>
        </w:tc>
      </w:tr>
      <w:tr w:rsidR="00BC637F" w:rsidRPr="006A6444" w14:paraId="0C51FA16" w14:textId="77777777" w:rsidTr="00BC637F">
        <w:tc>
          <w:tcPr>
            <w:tcW w:w="534" w:type="dxa"/>
          </w:tcPr>
          <w:p w14:paraId="6EDB8D85" w14:textId="5602192D" w:rsidR="00BC637F" w:rsidRPr="00605532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5ED513A" w14:textId="59D27B95" w:rsidR="00BC637F" w:rsidRPr="00605532" w:rsidRDefault="00BF7326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F06F9C" w:rsidRPr="00F06F9C" w14:paraId="4B5F3436" w14:textId="77777777" w:rsidTr="00BC637F">
        <w:tc>
          <w:tcPr>
            <w:tcW w:w="534" w:type="dxa"/>
          </w:tcPr>
          <w:p w14:paraId="29CCBA58" w14:textId="77777777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5A9DA9" w14:textId="77D10C2B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BC637F" w:rsidRPr="006A6444" w14:paraId="4FF742EF" w14:textId="77777777" w:rsidTr="00BC637F">
        <w:tc>
          <w:tcPr>
            <w:tcW w:w="534" w:type="dxa"/>
          </w:tcPr>
          <w:p w14:paraId="0B8342D8" w14:textId="7BC2BFB0" w:rsidR="00BC637F" w:rsidRPr="00CB4EBC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E62D0F6" w14:textId="2E158B0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(утверждено Приказом Минфина России от 27.11.2006 №154н)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A6B02B8" w14:textId="77777777" w:rsidTr="00BC637F">
        <w:tc>
          <w:tcPr>
            <w:tcW w:w="534" w:type="dxa"/>
          </w:tcPr>
          <w:p w14:paraId="5B29D139" w14:textId="672A5BC7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BCFB54C" w14:textId="45A80DE5" w:rsidR="00BC637F" w:rsidRPr="00263DF9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№44н)</w:t>
            </w:r>
            <w:r w:rsidRPr="0026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62BCFEF" w14:textId="77777777" w:rsidTr="00BC637F">
        <w:tc>
          <w:tcPr>
            <w:tcW w:w="534" w:type="dxa"/>
          </w:tcPr>
          <w:p w14:paraId="0200AC9A" w14:textId="24C1214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542C15" w14:textId="6E4C590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7BE439E" w14:textId="77777777" w:rsidTr="00BC637F">
        <w:tc>
          <w:tcPr>
            <w:tcW w:w="534" w:type="dxa"/>
          </w:tcPr>
          <w:p w14:paraId="2D99475B" w14:textId="4B9D0A49" w:rsidR="00BC637F" w:rsidRPr="009106C8" w:rsidRDefault="001D0723" w:rsidP="006F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39D4E768" w14:textId="6EEA4D02" w:rsidR="00BC637F" w:rsidRPr="00E2711E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  <w:r w:rsidRPr="00E2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C611A48" w14:textId="77777777" w:rsidTr="00BC637F">
        <w:tc>
          <w:tcPr>
            <w:tcW w:w="534" w:type="dxa"/>
          </w:tcPr>
          <w:p w14:paraId="510E5ED5" w14:textId="154EFBA1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934DF24" w14:textId="6C5341C0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06.05.1999№32н)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AFFD39" w14:textId="77777777" w:rsidTr="00BC637F">
        <w:tc>
          <w:tcPr>
            <w:tcW w:w="534" w:type="dxa"/>
          </w:tcPr>
          <w:p w14:paraId="0019A278" w14:textId="2FED475B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43A0A75" w14:textId="2F58E36D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№33н)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5C3A25A" w14:textId="77777777" w:rsidTr="00BC637F">
        <w:tc>
          <w:tcPr>
            <w:tcW w:w="534" w:type="dxa"/>
          </w:tcPr>
          <w:p w14:paraId="62D4FE9B" w14:textId="1E72CB0F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679261ED" w14:textId="727A8F3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№153н)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4175690" w14:textId="77777777" w:rsidTr="00BC637F">
        <w:tc>
          <w:tcPr>
            <w:tcW w:w="534" w:type="dxa"/>
          </w:tcPr>
          <w:p w14:paraId="300091C9" w14:textId="7224F72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6D384E0E" w14:textId="20386ED5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№107н)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CD8EFED" w14:textId="77777777" w:rsidTr="00BC637F">
        <w:tc>
          <w:tcPr>
            <w:tcW w:w="534" w:type="dxa"/>
          </w:tcPr>
          <w:p w14:paraId="214D264F" w14:textId="7D3CEC07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E60A64F" w14:textId="20E58C8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организаций» (ПБУ 18/02) (утверждено Приказом Минфина России от 19.11.2002 №114н)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B73A08B" w14:textId="77777777" w:rsidTr="00BC637F">
        <w:tc>
          <w:tcPr>
            <w:tcW w:w="534" w:type="dxa"/>
          </w:tcPr>
          <w:p w14:paraId="0DCF745E" w14:textId="1BE6E17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37" w:type="dxa"/>
            <w:shd w:val="clear" w:color="auto" w:fill="auto"/>
          </w:tcPr>
          <w:p w14:paraId="39793F06" w14:textId="27C36391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№126н)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9F" w:rsidRPr="006A6444" w14:paraId="25A1967C" w14:textId="77777777" w:rsidTr="00BC637F">
        <w:tc>
          <w:tcPr>
            <w:tcW w:w="534" w:type="dxa"/>
          </w:tcPr>
          <w:p w14:paraId="7847BB4C" w14:textId="51AC6F03" w:rsidR="003B6D9F" w:rsidRPr="006A6444" w:rsidRDefault="003B6D9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1DE2ECC2" w14:textId="7A4CE13D" w:rsidR="003B6D9F" w:rsidRPr="006A6444" w:rsidRDefault="003B6D9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</w:t>
            </w:r>
            <w:r w:rsidR="009D63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1D0723" w:rsidRPr="001D0723" w14:paraId="5EFE0F7E" w14:textId="77777777" w:rsidTr="00BC637F">
        <w:tc>
          <w:tcPr>
            <w:tcW w:w="534" w:type="dxa"/>
          </w:tcPr>
          <w:p w14:paraId="7A435C84" w14:textId="4EB1A510" w:rsidR="00BC637F" w:rsidRPr="001D0723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4316DBE1" w14:textId="6A9A0F9A" w:rsidR="00BC637F" w:rsidRPr="001D0723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оссии </w:t>
            </w: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13.06.1995 № 49) </w:t>
            </w:r>
          </w:p>
        </w:tc>
      </w:tr>
      <w:tr w:rsidR="00BC637F" w:rsidRPr="006A6444" w14:paraId="051F1602" w14:textId="77777777" w:rsidTr="00BC637F">
        <w:tc>
          <w:tcPr>
            <w:tcW w:w="534" w:type="dxa"/>
          </w:tcPr>
          <w:p w14:paraId="3044423F" w14:textId="17A18F9A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53A53CEC" w14:textId="05412C11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9817A0" w14:paraId="4228A365" w14:textId="77777777" w:rsidTr="00BC637F">
        <w:tc>
          <w:tcPr>
            <w:tcW w:w="534" w:type="dxa"/>
          </w:tcPr>
          <w:p w14:paraId="483F1460" w14:textId="0B9F9198" w:rsidR="00BC637F" w:rsidRPr="009817A0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149C1043" w14:textId="18E89BDB" w:rsidR="00BC637F" w:rsidRPr="00A712D1" w:rsidRDefault="00BF7326" w:rsidP="001D0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2B85537C" w14:textId="77777777" w:rsidTr="00BC637F">
        <w:tc>
          <w:tcPr>
            <w:tcW w:w="534" w:type="dxa"/>
          </w:tcPr>
          <w:p w14:paraId="33B33B83" w14:textId="45C35E3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2C11375A" w14:textId="2CF3B591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4117799" w14:textId="77777777" w:rsidTr="00BC637F">
        <w:tc>
          <w:tcPr>
            <w:tcW w:w="534" w:type="dxa"/>
          </w:tcPr>
          <w:p w14:paraId="33D99926" w14:textId="14974A76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34E08314" w14:textId="567547EA" w:rsidR="00BC637F" w:rsidRPr="00A712D1" w:rsidRDefault="00BF7326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45EFDE24" w14:textId="77777777" w:rsidTr="001D0723">
        <w:trPr>
          <w:trHeight w:val="858"/>
        </w:trPr>
        <w:tc>
          <w:tcPr>
            <w:tcW w:w="534" w:type="dxa"/>
          </w:tcPr>
          <w:p w14:paraId="314A0E88" w14:textId="29D87995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D26008C" w14:textId="7D82ECF7" w:rsidR="00BC637F" w:rsidRPr="00A712D1" w:rsidRDefault="00BF7326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C74B00" w14:paraId="465FD2A4" w14:textId="77777777" w:rsidTr="00BC637F">
        <w:tc>
          <w:tcPr>
            <w:tcW w:w="534" w:type="dxa"/>
          </w:tcPr>
          <w:p w14:paraId="365A3014" w14:textId="46624341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1E29D868" w14:textId="1A269026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2BEFA54" w14:textId="77777777" w:rsidTr="00BC637F">
        <w:tc>
          <w:tcPr>
            <w:tcW w:w="534" w:type="dxa"/>
          </w:tcPr>
          <w:p w14:paraId="58EFD47B" w14:textId="633E838B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6520B4A5" w14:textId="18B4783D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645D131" w14:textId="77777777" w:rsidTr="00BC637F">
        <w:tc>
          <w:tcPr>
            <w:tcW w:w="534" w:type="dxa"/>
          </w:tcPr>
          <w:p w14:paraId="2E8BADFA" w14:textId="2C68AB35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639640EE" w14:textId="3120B278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624AAB86" w14:textId="77777777" w:rsidTr="00BC637F">
        <w:tc>
          <w:tcPr>
            <w:tcW w:w="534" w:type="dxa"/>
          </w:tcPr>
          <w:p w14:paraId="2EB74C57" w14:textId="419D8759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F76F967" w14:textId="6B617B90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754007" w14:textId="77777777" w:rsidTr="00BC637F">
        <w:tc>
          <w:tcPr>
            <w:tcW w:w="534" w:type="dxa"/>
          </w:tcPr>
          <w:p w14:paraId="7D1C0E2A" w14:textId="7FFFE3AE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5A31BFA" w14:textId="7263A1BC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213DE56" w14:textId="77777777" w:rsidTr="00BC637F">
        <w:tc>
          <w:tcPr>
            <w:tcW w:w="534" w:type="dxa"/>
          </w:tcPr>
          <w:p w14:paraId="31636068" w14:textId="01D3014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56263032" w14:textId="0246F98A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BB9614" w14:textId="77777777" w:rsidTr="00BC637F">
        <w:tc>
          <w:tcPr>
            <w:tcW w:w="534" w:type="dxa"/>
          </w:tcPr>
          <w:p w14:paraId="6F97926D" w14:textId="7DC7944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1F453980" w14:textId="1DC82AA1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7CDB27A" w14:textId="77777777" w:rsidTr="00BC637F">
        <w:tc>
          <w:tcPr>
            <w:tcW w:w="534" w:type="dxa"/>
          </w:tcPr>
          <w:p w14:paraId="3FD308F3" w14:textId="35D42826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6079480B" w14:textId="235C39E8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№98н)</w:t>
            </w:r>
          </w:p>
        </w:tc>
      </w:tr>
      <w:tr w:rsidR="00BC637F" w:rsidRPr="006A6444" w14:paraId="7CEF0E5E" w14:textId="77777777" w:rsidTr="00BC637F">
        <w:tc>
          <w:tcPr>
            <w:tcW w:w="534" w:type="dxa"/>
          </w:tcPr>
          <w:p w14:paraId="2E23E703" w14:textId="2AEB528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944BC0D" w14:textId="11848DAA" w:rsidR="00BC637F" w:rsidRPr="009106C8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16 «Аренда»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(введен в действие на территории Российской Федерации Приказом Минфина России от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11.07.2016 №111н)</w:t>
            </w:r>
          </w:p>
        </w:tc>
      </w:tr>
      <w:tr w:rsidR="00F06F9C" w:rsidRPr="00F06F9C" w14:paraId="27F99035" w14:textId="77777777" w:rsidTr="00BC637F">
        <w:tc>
          <w:tcPr>
            <w:tcW w:w="534" w:type="dxa"/>
          </w:tcPr>
          <w:p w14:paraId="0CCBDFA0" w14:textId="77777777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0D434C7" w14:textId="72AA5D58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BC637F" w:rsidRPr="006A6444" w14:paraId="19D43B76" w14:textId="77777777" w:rsidTr="00BC637F">
        <w:tc>
          <w:tcPr>
            <w:tcW w:w="534" w:type="dxa"/>
          </w:tcPr>
          <w:p w14:paraId="58FF5F72" w14:textId="302D81E1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2C1E19E5" w14:textId="180A9042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-ФЗ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7F17FD2" w14:textId="77777777" w:rsidTr="00BC637F">
        <w:tc>
          <w:tcPr>
            <w:tcW w:w="534" w:type="dxa"/>
          </w:tcPr>
          <w:p w14:paraId="31F52F33" w14:textId="61F4549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7DF9EC77" w14:textId="58EFF7EA" w:rsidR="00BC637F" w:rsidRPr="006A6444" w:rsidRDefault="00FD62F8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D0C7BCB" w14:textId="77777777" w:rsidTr="00BC637F">
        <w:tc>
          <w:tcPr>
            <w:tcW w:w="534" w:type="dxa"/>
          </w:tcPr>
          <w:p w14:paraId="4836AEAF" w14:textId="478DA41F" w:rsidR="00BC637F" w:rsidRPr="00203689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6C19F64" w14:textId="26208262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8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410697E" w14:textId="77777777" w:rsidTr="00BC637F">
        <w:tc>
          <w:tcPr>
            <w:tcW w:w="534" w:type="dxa"/>
          </w:tcPr>
          <w:p w14:paraId="2B3CD9E2" w14:textId="6E9BE963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72F60AFC" w14:textId="74D85B8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№43н)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5D6BF07" w14:textId="77777777" w:rsidTr="00BC637F">
        <w:tc>
          <w:tcPr>
            <w:tcW w:w="534" w:type="dxa"/>
          </w:tcPr>
          <w:p w14:paraId="30434BBE" w14:textId="5F4EFEC8" w:rsidR="00BC637F" w:rsidRPr="009106C8" w:rsidRDefault="00BC637F" w:rsidP="001D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4AC0207" w14:textId="587F8CA4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5E011A" w14:textId="77777777" w:rsidTr="00BC637F">
        <w:tc>
          <w:tcPr>
            <w:tcW w:w="534" w:type="dxa"/>
          </w:tcPr>
          <w:p w14:paraId="20390380" w14:textId="10CE20A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0A6B4C62" w14:textId="20BD7B89" w:rsidR="00BC637F" w:rsidRPr="009106C8" w:rsidRDefault="00BC637F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34CC29F" w14:textId="77777777" w:rsidTr="00BC637F">
        <w:tc>
          <w:tcPr>
            <w:tcW w:w="534" w:type="dxa"/>
          </w:tcPr>
          <w:p w14:paraId="5227607E" w14:textId="66CF8700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1E5D1073" w14:textId="4647F8FA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№11н)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F295110" w14:textId="77777777" w:rsidTr="00BC637F">
        <w:tc>
          <w:tcPr>
            <w:tcW w:w="534" w:type="dxa"/>
          </w:tcPr>
          <w:p w14:paraId="5E26687B" w14:textId="7711D785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62D34C77" w14:textId="4BAD9B2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02.07.2010 № 66н «О формах бухгалтерской отчетности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6A6444" w14:paraId="5C1BDF42" w14:textId="77777777" w:rsidTr="00BC637F">
        <w:tc>
          <w:tcPr>
            <w:tcW w:w="534" w:type="dxa"/>
          </w:tcPr>
          <w:p w14:paraId="7CC10C72" w14:textId="679CA8AE" w:rsidR="009817A0" w:rsidRPr="00D40850" w:rsidRDefault="009817A0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4F17B8DD" w14:textId="31AA427B" w:rsidR="009817A0" w:rsidRPr="00A712D1" w:rsidRDefault="00FD62F8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0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1BC223EA" w14:textId="77777777" w:rsidTr="00BC637F">
        <w:tc>
          <w:tcPr>
            <w:tcW w:w="534" w:type="dxa"/>
          </w:tcPr>
          <w:p w14:paraId="5AACD6EA" w14:textId="56E82EBC" w:rsidR="00BC637F" w:rsidRPr="00050F3C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450D32D" w14:textId="54806363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52B0095C" w14:textId="77777777" w:rsidTr="00BC637F">
        <w:tc>
          <w:tcPr>
            <w:tcW w:w="534" w:type="dxa"/>
          </w:tcPr>
          <w:p w14:paraId="11C6532F" w14:textId="4F1FEA66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01E89530" w14:textId="1BA3FF20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2A41194" w14:textId="77777777" w:rsidTr="00BC637F">
        <w:tc>
          <w:tcPr>
            <w:tcW w:w="534" w:type="dxa"/>
          </w:tcPr>
          <w:p w14:paraId="2C8303C4" w14:textId="04A38BE0" w:rsidR="00BC637F" w:rsidRPr="009106C8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4663EDBC" w14:textId="54844F3F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601F827" w14:textId="77777777" w:rsidTr="00BC637F">
        <w:tc>
          <w:tcPr>
            <w:tcW w:w="534" w:type="dxa"/>
          </w:tcPr>
          <w:p w14:paraId="26403B0F" w14:textId="26A4F275" w:rsidR="00BC637F" w:rsidRPr="00DE54DD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6B430ACB" w14:textId="39CE2644" w:rsidR="00BC637F" w:rsidRPr="006A6444" w:rsidRDefault="0088770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C3FA0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стандарт аудита</w:t>
            </w:r>
            <w:r w:rsidR="00BC637F" w:rsidRPr="00DE5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«Основные цели независимого аудитора и проведение аудита в соответствии с международными стандартами аудита» (п.13., п. А3-А9)</w:t>
            </w:r>
            <w:r w:rsidR="008B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1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6135F814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6840C46C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В.В. Ковалев. - 3-е изд.,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ООО Проспект. 2019. – 936 с. - ISBN: 978-5-392-29589-0</w:t>
            </w:r>
          </w:p>
        </w:tc>
      </w:tr>
      <w:tr w:rsidR="002D0A18" w:rsidRPr="008F0123" w14:paraId="13EB9997" w14:textId="77777777" w:rsidTr="002D0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50" w14:textId="23180393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Финансовый менеджмент. Конспект лекций с задачами и тестами</w:t>
            </w:r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</w:t>
            </w: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/ В.В. Ковалев, Вит. В. Ковалев – М.: ООО Проспект. 2020. – 560 с. – ISBN: 978-5-392-31201-6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0D044327" w:rsidR="00BC637F" w:rsidRPr="008F0123" w:rsidRDefault="00A7290E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ISBN: 978-5-534-05871-0 ЭБС https://biblio-online.ru/</w:t>
            </w:r>
          </w:p>
        </w:tc>
      </w:tr>
      <w:tr w:rsidR="00A7290E" w:rsidRPr="008F0123" w14:paraId="2CB065CE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3A145136" w:rsidR="00A7290E" w:rsidRP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2146C269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2A831CFD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5037CE65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461010A4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05A08D6D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FC3" w14:textId="7C80FC13" w:rsidR="00FD7AB2" w:rsidRPr="00A712D1" w:rsidRDefault="00857D90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Нуреев Р.М. Курс микроэкономики. /Учебник. – 3-е изд., </w:t>
            </w:r>
            <w:proofErr w:type="spellStart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– Норма: НИЦ ИНФРА-М, 2019. – 624 с. - ISBN: 978-5-91768-450-5 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11" w14:textId="77777777" w:rsidR="00857D90" w:rsidRPr="00857D90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принципы, проблемы и политика: Уч. / К.Р.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Макконнелл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Ш.М.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Флинн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Пер.19-e англ. изд. - М.: ИНФРА-М, 2020. 1152 с. - ISBN: 978-5-16-012985-3 (Микроэкономика товарных рынков; Международная экономика)</w:t>
            </w:r>
          </w:p>
          <w:p w14:paraId="0F8B8A97" w14:textId="51FD8324" w:rsidR="00FD7AB2" w:rsidRPr="00A712D1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2D0A18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078771DF" w:rsidR="002D0A18" w:rsidRPr="00A712D1" w:rsidRDefault="002D0A18" w:rsidP="00E13CCE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2020</w:t>
            </w:r>
            <w:r w:rsidRPr="009473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– 3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  <w:bookmarkStart w:id="0" w:name="_GoBack"/>
      <w:bookmarkEnd w:id="0"/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4, 7.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BC637F" w:rsidRPr="006A6444" w14:paraId="6E20388D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A26" w14:textId="1AD67209" w:rsidR="00BC637F" w:rsidRPr="006F501E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595" w14:textId="044EB28D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3528F4E0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102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7CE" w14:textId="467EFAC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  <w:r w:rsidRPr="00F06F9C">
              <w:rPr>
                <w:rFonts w:ascii="Times New Roman" w:hAnsi="Times New Roman" w:cs="Times New Roman"/>
                <w:color w:val="auto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</w:tr>
      <w:tr w:rsidR="009817A0" w:rsidRPr="006A6444" w14:paraId="510605C9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4921" w14:textId="2FE17D5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39C" w14:textId="79D42E62" w:rsidR="009817A0" w:rsidRPr="006A6444" w:rsidRDefault="009817A0" w:rsidP="009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17A0" w:rsidRPr="006A6444" w14:paraId="100DC29E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A60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877" w14:textId="091F88A4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9817A0" w:rsidRPr="006A6444" w14:paraId="077155B5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8C1B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DC1" w14:textId="2C117C78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(гл.3)</w:t>
            </w:r>
          </w:p>
        </w:tc>
      </w:tr>
      <w:tr w:rsidR="009817A0" w:rsidRPr="006A6444" w14:paraId="2BE5A27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945D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18F" w14:textId="53409679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9817A0" w:rsidRPr="006A6444" w14:paraId="37A9503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9EB0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CF6" w14:textId="4819A4E0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ст.44, 45, 52-58; гл. 11, 12)</w:t>
            </w:r>
          </w:p>
        </w:tc>
      </w:tr>
      <w:tr w:rsidR="00A5776C" w:rsidRPr="006A6444" w14:paraId="230201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86C8" w14:textId="77777777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0F1" w14:textId="5F41B07A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89.1-99, 104-105)</w:t>
            </w:r>
          </w:p>
        </w:tc>
      </w:tr>
      <w:tr w:rsidR="009817A0" w:rsidRPr="006A6444" w14:paraId="0E288316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5A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1A" w14:textId="1C4AFDB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06F9C" w:rsidRPr="00F06F9C" w14:paraId="4E1592EF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573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B35" w14:textId="4D3D641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A5776C" w:rsidRPr="009817A0" w14:paraId="600E80D0" w14:textId="77777777" w:rsidTr="00A577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F3DB" w14:textId="789243AD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22" w14:textId="423C7EEC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78B" w:rsidRPr="006A6444" w14:paraId="279CF9D6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A439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5FF" w14:textId="37132B31" w:rsidR="006D678B" w:rsidRPr="006A6444" w:rsidRDefault="006D678B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150, 151, 157, 158, 160, 162.1, 162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662996D0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D408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42F" w14:textId="2C1B9B83" w:rsidR="006D678B" w:rsidRPr="006A6444" w:rsidRDefault="006D678B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22 «Акцизы»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179.2-179.9,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184, 185, 186, 186.1, 191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200, 201, 203.1, 205, 205.1, 206.1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5B44C9A9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260" w14:textId="77777777" w:rsidR="006D678B" w:rsidRPr="006A6444" w:rsidRDefault="006D678B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E4D" w14:textId="5E8AAFA0" w:rsidR="006D678B" w:rsidRPr="006A6444" w:rsidRDefault="006D678B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23 «Налог на доходы физических лиц» (кроме ст. 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213, 213.1, 214.1-214.9,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220.1, 220.2,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226.1-227.1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0D78BD69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C066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27D" w14:textId="71C52D7C" w:rsidR="006D678B" w:rsidRPr="006A6444" w:rsidRDefault="006D678B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«Налог на прибыль организаций» (кроме ст.246.1, 246.2, 261, 262, 263, 264.1, 267.1, 267.2, 267.3, 267.4, 268.1, 275.1, 275.2,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275.3,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 277, 278, 278.1, 278.2, 279, 280, 281, 282, 282.1, 284.1-284.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 288.1-288.3, 290-312,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1-333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76C" w:rsidRPr="006A6444" w14:paraId="6570F2A4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6342" w14:textId="77777777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C54" w14:textId="32A9E813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6D678B" w:rsidRPr="006A6444" w14:paraId="1FBC4D32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9A38" w14:textId="77777777" w:rsidR="006D678B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CC" w14:textId="17FB748A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381.1,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76C" w:rsidRPr="006A6444" w14:paraId="562A47F4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EE7C" w14:textId="77777777" w:rsidR="00A5776C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CC6" w14:textId="0FD64C4A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A5776C" w:rsidRPr="006A6444" w14:paraId="286001E0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33F8" w14:textId="77777777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52E" w14:textId="2B397A4B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ст.427-430, 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2499D1E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ADE" w14:textId="278FCADC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0A5" w14:textId="601A780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1E94BD3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B76" w14:textId="1A4FC6C6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776" w14:textId="4CDD47D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77607F6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6F1" w14:textId="0E817E97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3A6" w14:textId="09D22022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3D212C" w:rsidRPr="006A6444" w14:paraId="56CFA288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7B7" w14:textId="38598513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091" w14:textId="70AE4BCE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F06F9C" w:rsidRPr="00F06F9C" w14:paraId="34B08C25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071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094" w14:textId="66258F79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BC637F" w:rsidRPr="006A6444" w14:paraId="536B3399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83F" w14:textId="40FC2EB1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1C4" w14:textId="7A33E6F6" w:rsidR="00BC637F" w:rsidRPr="003D212C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первая) от 31.07.1998 № 146-ФЗ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15, 16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5A4E7B4E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22D" w14:textId="259824AE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6FD" w14:textId="2DF57057" w:rsidR="00BC637F" w:rsidRPr="006A6444" w:rsidRDefault="00B5175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(ст. 15.1, 15.3,15.5, 15.6, 15.11, 15.12) (с изменениями и дополнениями)</w:t>
            </w:r>
          </w:p>
        </w:tc>
      </w:tr>
      <w:tr w:rsidR="00BC637F" w:rsidRPr="006A6444" w14:paraId="44B0D2E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BCD" w14:textId="58C3DBA9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A07" w14:textId="1CEA4E7C" w:rsidR="00BC637F" w:rsidRPr="003D212C" w:rsidRDefault="00BC637F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22, ст.198-199.4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BC637F"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02D41919" w:rsidR="00F06F9C" w:rsidRPr="00DB326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25108E0" w14:textId="79292A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оценочных значений, включая оценку справедливой стоимости, и соотве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тствующего раскрытия информации»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AA5D9F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 w:rsidR="003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(отмыванию) доходов, полученных преступным путем, и финансированию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диторских услуг рисков легализации (отмывания) доходов, полученных преступным путем, и финансирования терроризма (информационное письмо </w:t>
            </w:r>
            <w:proofErr w:type="spell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F06F9C" w:rsidRPr="0068430D" w14:paraId="6997CDEC" w14:textId="77777777" w:rsidTr="00E74FFE">
        <w:tc>
          <w:tcPr>
            <w:tcW w:w="576" w:type="dxa"/>
          </w:tcPr>
          <w:p w14:paraId="458C869B" w14:textId="77777777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2BA810C3" w14:textId="56B3A9F9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BC637F" w:rsidRPr="00DB326E" w14:paraId="00F214A5" w14:textId="77777777" w:rsidTr="00E74FFE">
        <w:tc>
          <w:tcPr>
            <w:tcW w:w="576" w:type="dxa"/>
          </w:tcPr>
          <w:p w14:paraId="24C8303B" w14:textId="4A1DFC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4C5200B6" w14:textId="4141225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льный закон от 06.12.2011 № 402-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ФЗ «О бухгалтерском учете»</w:t>
            </w:r>
          </w:p>
        </w:tc>
      </w:tr>
      <w:tr w:rsidR="00BC637F" w:rsidRPr="00DB326E" w14:paraId="6ACA0FBF" w14:textId="77777777" w:rsidTr="00E74FFE">
        <w:tc>
          <w:tcPr>
            <w:tcW w:w="576" w:type="dxa"/>
          </w:tcPr>
          <w:p w14:paraId="245B48F1" w14:textId="7B63A97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620EBF34" w14:textId="2EEF109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DB326E" w14:paraId="5AD4BC5C" w14:textId="77777777" w:rsidTr="00E74FFE">
        <w:tc>
          <w:tcPr>
            <w:tcW w:w="576" w:type="dxa"/>
          </w:tcPr>
          <w:p w14:paraId="680FB4C0" w14:textId="4176056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64CB003B" w14:textId="5D0A1D37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BC637F" w:rsidRPr="00DB326E" w14:paraId="0FA3A2A8" w14:textId="77777777" w:rsidTr="00E74FFE">
        <w:tc>
          <w:tcPr>
            <w:tcW w:w="576" w:type="dxa"/>
          </w:tcPr>
          <w:p w14:paraId="3FACE2AC" w14:textId="084F656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2E4B08F6" w14:textId="37E7488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154н)</w:t>
            </w:r>
          </w:p>
        </w:tc>
      </w:tr>
      <w:tr w:rsidR="00BC637F" w:rsidRPr="00DB326E" w14:paraId="0C08B576" w14:textId="77777777" w:rsidTr="00E74FFE">
        <w:tc>
          <w:tcPr>
            <w:tcW w:w="576" w:type="dxa"/>
          </w:tcPr>
          <w:p w14:paraId="752AE04B" w14:textId="47376A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3A3BFFB" w14:textId="4C0B99CC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44н)</w:t>
            </w:r>
          </w:p>
        </w:tc>
      </w:tr>
      <w:tr w:rsidR="00BC637F" w:rsidRPr="00DB326E" w14:paraId="63FE4EF0" w14:textId="77777777" w:rsidTr="00E74FFE">
        <w:tc>
          <w:tcPr>
            <w:tcW w:w="576" w:type="dxa"/>
          </w:tcPr>
          <w:p w14:paraId="50AE05D7" w14:textId="48E894D9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452628F6" w14:textId="391DCDD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26н)</w:t>
            </w:r>
          </w:p>
        </w:tc>
      </w:tr>
      <w:tr w:rsidR="00BC637F" w:rsidRPr="00DB326E" w14:paraId="346C2B87" w14:textId="77777777" w:rsidTr="00E74FFE">
        <w:tc>
          <w:tcPr>
            <w:tcW w:w="576" w:type="dxa"/>
          </w:tcPr>
          <w:p w14:paraId="3718DEB8" w14:textId="1605D73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2E274AC5" w14:textId="3F22DA2E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BC637F" w:rsidRPr="00DB326E" w14:paraId="7764E774" w14:textId="77777777" w:rsidTr="00E74FFE">
        <w:tc>
          <w:tcPr>
            <w:tcW w:w="576" w:type="dxa"/>
          </w:tcPr>
          <w:p w14:paraId="36BE129B" w14:textId="0097110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34CEAA38" w14:textId="463C1038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32н)</w:t>
            </w:r>
          </w:p>
        </w:tc>
      </w:tr>
      <w:tr w:rsidR="00BC637F" w:rsidRPr="00DB326E" w14:paraId="0C90E4DC" w14:textId="77777777" w:rsidTr="00E74FFE">
        <w:tc>
          <w:tcPr>
            <w:tcW w:w="576" w:type="dxa"/>
          </w:tcPr>
          <w:p w14:paraId="0B1132FE" w14:textId="5E665A5F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7510476C" w14:textId="24D0F4E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33н)</w:t>
            </w:r>
          </w:p>
        </w:tc>
      </w:tr>
      <w:tr w:rsidR="00BC637F" w:rsidRPr="00DB326E" w14:paraId="36E99E2C" w14:textId="77777777" w:rsidTr="00E74FFE">
        <w:tc>
          <w:tcPr>
            <w:tcW w:w="576" w:type="dxa"/>
          </w:tcPr>
          <w:p w14:paraId="38AB7141" w14:textId="513FD11F" w:rsidR="00BC637F" w:rsidRPr="00DB326E" w:rsidRDefault="00BC637F" w:rsidP="007E23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2DA891AE" w14:textId="7A02FE96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BC637F" w:rsidRPr="00DB326E" w14:paraId="4BCDDA11" w14:textId="77777777" w:rsidTr="00E74FFE">
        <w:tc>
          <w:tcPr>
            <w:tcW w:w="576" w:type="dxa"/>
          </w:tcPr>
          <w:p w14:paraId="2D586138" w14:textId="3F7B6072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3B65CF48" w14:textId="05ADB40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153н)</w:t>
            </w:r>
          </w:p>
        </w:tc>
      </w:tr>
      <w:tr w:rsidR="00BC637F" w:rsidRPr="00DB326E" w14:paraId="5EB4939B" w14:textId="77777777" w:rsidTr="00E74FFE">
        <w:tc>
          <w:tcPr>
            <w:tcW w:w="576" w:type="dxa"/>
          </w:tcPr>
          <w:p w14:paraId="4F2F0C35" w14:textId="7BFFECB7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3333A102" w14:textId="4BFC1285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107н)</w:t>
            </w:r>
          </w:p>
        </w:tc>
      </w:tr>
      <w:tr w:rsidR="00BC637F" w:rsidRPr="00DB326E" w14:paraId="2C03EC03" w14:textId="77777777" w:rsidTr="00E74FFE">
        <w:tc>
          <w:tcPr>
            <w:tcW w:w="576" w:type="dxa"/>
          </w:tcPr>
          <w:p w14:paraId="6344B89F" w14:textId="4399A17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08F7EE5" w14:textId="5AF42538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BC637F" w:rsidRPr="00DB326E" w14:paraId="6E69FD7A" w14:textId="77777777" w:rsidTr="00E74FFE">
        <w:tc>
          <w:tcPr>
            <w:tcW w:w="576" w:type="dxa"/>
          </w:tcPr>
          <w:p w14:paraId="61D0E9FF" w14:textId="139D5DF1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2D81FA3F" w14:textId="004D14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114н)</w:t>
            </w:r>
          </w:p>
        </w:tc>
      </w:tr>
      <w:tr w:rsidR="00BC637F" w:rsidRPr="00DB326E" w14:paraId="4E6DF095" w14:textId="77777777" w:rsidTr="00E74FFE">
        <w:tc>
          <w:tcPr>
            <w:tcW w:w="576" w:type="dxa"/>
          </w:tcPr>
          <w:p w14:paraId="766D3D8F" w14:textId="5A41596A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732E332B" w14:textId="1E3C23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126н)</w:t>
            </w:r>
          </w:p>
        </w:tc>
      </w:tr>
      <w:tr w:rsidR="00BC637F" w:rsidRPr="00DB326E" w14:paraId="7D0F1170" w14:textId="77777777" w:rsidTr="00E74FFE">
        <w:tc>
          <w:tcPr>
            <w:tcW w:w="576" w:type="dxa"/>
          </w:tcPr>
          <w:p w14:paraId="377FE74C" w14:textId="5CF705F2" w:rsidR="00BC637F" w:rsidRPr="00793C7C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6AB3569F" w14:textId="57DF95BA" w:rsidR="00BC637F" w:rsidRPr="00793C7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C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BC637F" w:rsidRPr="00DB326E" w14:paraId="5D491DA5" w14:textId="77777777" w:rsidTr="00E74FFE">
        <w:tc>
          <w:tcPr>
            <w:tcW w:w="576" w:type="dxa"/>
          </w:tcPr>
          <w:p w14:paraId="661CB382" w14:textId="792C544E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461CE34F" w14:textId="40D92993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3B6D9F" w:rsidRPr="00DB326E" w14:paraId="6C1CE0A8" w14:textId="77777777" w:rsidTr="00E74FFE">
        <w:tc>
          <w:tcPr>
            <w:tcW w:w="576" w:type="dxa"/>
          </w:tcPr>
          <w:p w14:paraId="2E4690E4" w14:textId="4C270A7E" w:rsidR="003B6D9F" w:rsidRPr="00DB326E" w:rsidRDefault="003B6D9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59033BE0" w14:textId="614B31E0" w:rsidR="003B6D9F" w:rsidRPr="00DB326E" w:rsidRDefault="003B6D9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 </w:t>
            </w:r>
            <w:r w:rsidR="009D63A4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BC637F" w:rsidRPr="00DB326E" w14:paraId="73470FA7" w14:textId="77777777" w:rsidTr="00E74FFE">
        <w:tc>
          <w:tcPr>
            <w:tcW w:w="576" w:type="dxa"/>
          </w:tcPr>
          <w:p w14:paraId="4F45A6F0" w14:textId="13FAEB9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2AE37688" w14:textId="6431383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BC637F" w:rsidRPr="00DB326E" w14:paraId="4416F07C" w14:textId="77777777" w:rsidTr="00E74FFE">
        <w:tc>
          <w:tcPr>
            <w:tcW w:w="576" w:type="dxa"/>
          </w:tcPr>
          <w:p w14:paraId="3CF36DE4" w14:textId="0EF6E41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0830681E" w14:textId="27847DF9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материально-производственных запасов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28.12.2001 № 119н)</w:t>
            </w:r>
          </w:p>
        </w:tc>
      </w:tr>
      <w:tr w:rsidR="00BC637F" w:rsidRPr="00DB326E" w14:paraId="140968AF" w14:textId="77777777" w:rsidTr="00E74FFE">
        <w:tc>
          <w:tcPr>
            <w:tcW w:w="576" w:type="dxa"/>
          </w:tcPr>
          <w:p w14:paraId="58A39ADD" w14:textId="14CEBC0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3F14979E" w14:textId="0667189B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13.10.2003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91н)</w:t>
            </w:r>
          </w:p>
        </w:tc>
      </w:tr>
      <w:tr w:rsidR="00BC637F" w:rsidRPr="00DB326E" w14:paraId="06E44A5F" w14:textId="77777777" w:rsidTr="00E74FFE">
        <w:tc>
          <w:tcPr>
            <w:tcW w:w="576" w:type="dxa"/>
          </w:tcPr>
          <w:p w14:paraId="185835A8" w14:textId="4C4E85A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801C4B6" w14:textId="1779024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специального инструмента, специальных приспособлений, специального оборудования и специальной одежды </w:t>
            </w: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(утверждены Приказом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Минфина России от 26.12.2002 № 135н)</w:t>
            </w:r>
          </w:p>
        </w:tc>
      </w:tr>
      <w:tr w:rsidR="00BC637F" w:rsidRPr="00DB326E" w14:paraId="1AAC673C" w14:textId="77777777" w:rsidTr="00E74FFE">
        <w:tc>
          <w:tcPr>
            <w:tcW w:w="576" w:type="dxa"/>
          </w:tcPr>
          <w:p w14:paraId="60CFAF84" w14:textId="20976FF7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7F05C03A" w14:textId="7ACFA90A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по планированию, учету и </w:t>
            </w:r>
            <w:proofErr w:type="spellStart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калькулированию</w:t>
            </w:r>
            <w:proofErr w:type="spellEnd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 продукции на промышленных предприятиях,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A1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от 17.01.1983)</w:t>
            </w:r>
          </w:p>
        </w:tc>
      </w:tr>
      <w:tr w:rsidR="003D212C" w:rsidRPr="00C85A2D" w14:paraId="3F3B9D5B" w14:textId="77777777" w:rsidTr="00E74FFE">
        <w:tc>
          <w:tcPr>
            <w:tcW w:w="576" w:type="dxa"/>
          </w:tcPr>
          <w:p w14:paraId="369C5C81" w14:textId="5D1DD5A3" w:rsidR="003D212C" w:rsidRPr="00C85A2D" w:rsidRDefault="003D212C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63012D81" w14:textId="394A93CF" w:rsidR="003D212C" w:rsidRPr="00A712D1" w:rsidRDefault="00364E22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D50D77" w14:paraId="2F8B879B" w14:textId="77777777" w:rsidTr="00E74FFE">
        <w:tc>
          <w:tcPr>
            <w:tcW w:w="576" w:type="dxa"/>
          </w:tcPr>
          <w:p w14:paraId="30D2C345" w14:textId="0FA2AD0E" w:rsidR="00BC637F" w:rsidRPr="00D50D77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6D1090AF" w14:textId="3414CCEF" w:rsidR="00BC637F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FA06608" w14:textId="77777777" w:rsidTr="00E74FFE">
        <w:tc>
          <w:tcPr>
            <w:tcW w:w="576" w:type="dxa"/>
          </w:tcPr>
          <w:p w14:paraId="5102D762" w14:textId="1C5999E8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16DE0CDE" w14:textId="718149E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06F15DF" w14:textId="77777777" w:rsidTr="00E74FFE">
        <w:tc>
          <w:tcPr>
            <w:tcW w:w="576" w:type="dxa"/>
          </w:tcPr>
          <w:p w14:paraId="27A3D223" w14:textId="3EC28FDD" w:rsidR="00364E22" w:rsidRPr="00272543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27772264" w14:textId="0F6DF0BE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783AEE02" w14:textId="77777777" w:rsidTr="00E74FFE">
        <w:tc>
          <w:tcPr>
            <w:tcW w:w="576" w:type="dxa"/>
          </w:tcPr>
          <w:p w14:paraId="5F08BD9A" w14:textId="59CE4B50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60A6C0AF" w14:textId="7090E477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63D4A45C" w14:textId="77777777" w:rsidTr="00E74FFE">
        <w:tc>
          <w:tcPr>
            <w:tcW w:w="576" w:type="dxa"/>
          </w:tcPr>
          <w:p w14:paraId="64240826" w14:textId="45D80667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07C9CD46" w14:textId="7F143859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4FBA01F" w14:textId="77777777" w:rsidTr="00E74FFE">
        <w:tc>
          <w:tcPr>
            <w:tcW w:w="576" w:type="dxa"/>
          </w:tcPr>
          <w:p w14:paraId="695391F3" w14:textId="3C72AC06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6FB24485" w14:textId="5586DF5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37D3FBAB" w14:textId="77777777" w:rsidTr="00E74FFE">
        <w:tc>
          <w:tcPr>
            <w:tcW w:w="576" w:type="dxa"/>
          </w:tcPr>
          <w:p w14:paraId="61510B34" w14:textId="4186E02B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643A9E33" w14:textId="49D8567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4A78E4AD" w14:textId="77777777" w:rsidTr="00E74FFE">
        <w:tc>
          <w:tcPr>
            <w:tcW w:w="576" w:type="dxa"/>
          </w:tcPr>
          <w:p w14:paraId="78F9DDFA" w14:textId="3657496D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5A6AB399" w14:textId="596443F3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0D593533" w14:textId="77777777" w:rsidTr="00E74FFE">
        <w:tc>
          <w:tcPr>
            <w:tcW w:w="576" w:type="dxa"/>
          </w:tcPr>
          <w:p w14:paraId="4F1A124F" w14:textId="5B2BA7A0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1AE99080" w14:textId="028B8E0B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C1C2576" w14:textId="77777777" w:rsidTr="00E74FFE">
        <w:tc>
          <w:tcPr>
            <w:tcW w:w="576" w:type="dxa"/>
          </w:tcPr>
          <w:p w14:paraId="66772C3E" w14:textId="7CBB34D4" w:rsidR="00364E22" w:rsidRPr="00412C45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325AAFEF" w14:textId="336F1F4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3285DEAB" w14:textId="77777777" w:rsidTr="00E74FFE">
        <w:tc>
          <w:tcPr>
            <w:tcW w:w="576" w:type="dxa"/>
          </w:tcPr>
          <w:p w14:paraId="00AAA905" w14:textId="66D105BF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995" w:type="dxa"/>
            <w:shd w:val="clear" w:color="auto" w:fill="auto"/>
          </w:tcPr>
          <w:p w14:paraId="3ED5FE34" w14:textId="1AEE3880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D82504D" w14:textId="77777777" w:rsidTr="00E74FFE">
        <w:tc>
          <w:tcPr>
            <w:tcW w:w="576" w:type="dxa"/>
          </w:tcPr>
          <w:p w14:paraId="0801BBBF" w14:textId="482EBDB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995" w:type="dxa"/>
            <w:shd w:val="clear" w:color="auto" w:fill="auto"/>
          </w:tcPr>
          <w:p w14:paraId="54BC0E6D" w14:textId="00ED56B3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52D2BBF5" w14:textId="77777777" w:rsidTr="00E74FFE">
        <w:tc>
          <w:tcPr>
            <w:tcW w:w="576" w:type="dxa"/>
          </w:tcPr>
          <w:p w14:paraId="2E61D892" w14:textId="13443659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8995" w:type="dxa"/>
            <w:shd w:val="clear" w:color="auto" w:fill="auto"/>
          </w:tcPr>
          <w:p w14:paraId="1B4F789C" w14:textId="71D7AA5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8B90BA3" w14:textId="77777777" w:rsidTr="00E74FFE">
        <w:tc>
          <w:tcPr>
            <w:tcW w:w="576" w:type="dxa"/>
          </w:tcPr>
          <w:p w14:paraId="6A62B98F" w14:textId="2DDCECF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995" w:type="dxa"/>
            <w:shd w:val="clear" w:color="auto" w:fill="auto"/>
          </w:tcPr>
          <w:p w14:paraId="79818430" w14:textId="1612DDA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5 «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Внеоборотные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1FE7A6A8" w14:textId="77777777" w:rsidTr="00E74FFE">
        <w:tc>
          <w:tcPr>
            <w:tcW w:w="576" w:type="dxa"/>
          </w:tcPr>
          <w:p w14:paraId="0229760E" w14:textId="36C17B2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6E006320" w14:textId="2E684FA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6666250" w14:textId="77777777" w:rsidTr="00E74FFE">
        <w:tc>
          <w:tcPr>
            <w:tcW w:w="576" w:type="dxa"/>
          </w:tcPr>
          <w:p w14:paraId="7831821B" w14:textId="2B0BEA36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995" w:type="dxa"/>
            <w:shd w:val="clear" w:color="auto" w:fill="auto"/>
          </w:tcPr>
          <w:p w14:paraId="14F14164" w14:textId="1D1F238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77DA73C" w14:textId="77777777" w:rsidTr="00E74FFE">
        <w:tc>
          <w:tcPr>
            <w:tcW w:w="576" w:type="dxa"/>
          </w:tcPr>
          <w:p w14:paraId="6385E3E3" w14:textId="24C9B438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8995" w:type="dxa"/>
            <w:shd w:val="clear" w:color="auto" w:fill="auto"/>
          </w:tcPr>
          <w:p w14:paraId="20D64765" w14:textId="365760A5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41D157C8" w14:textId="77777777" w:rsidTr="00E74FFE">
        <w:tc>
          <w:tcPr>
            <w:tcW w:w="576" w:type="dxa"/>
          </w:tcPr>
          <w:p w14:paraId="4CB1E183" w14:textId="713F5B8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995" w:type="dxa"/>
            <w:shd w:val="clear" w:color="auto" w:fill="auto"/>
          </w:tcPr>
          <w:p w14:paraId="0A8595D2" w14:textId="5959C31A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758154B0" w14:textId="77777777" w:rsidTr="00E74FFE">
        <w:tc>
          <w:tcPr>
            <w:tcW w:w="576" w:type="dxa"/>
          </w:tcPr>
          <w:p w14:paraId="32E6FAA4" w14:textId="0A778E44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995" w:type="dxa"/>
            <w:shd w:val="clear" w:color="auto" w:fill="auto"/>
          </w:tcPr>
          <w:p w14:paraId="172159DE" w14:textId="56F534CF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BC637F" w:rsidRPr="0068430D" w14:paraId="176FAD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6FD" w14:textId="77777777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B7C5" w14:textId="622A39F2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_Hlk546989"/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BC637F" w:rsidRPr="003E37F2" w14:paraId="6D1C1D7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1E4" w14:textId="00658AA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646" w14:textId="73443143" w:rsidR="00BC637F" w:rsidRPr="003E37F2" w:rsidRDefault="00BC637F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BC637F" w:rsidRPr="003E37F2" w14:paraId="2351BC9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AE4" w14:textId="76582880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730" w14:textId="0B58B81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3E37F2" w14:paraId="75A2D4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6CB" w14:textId="020AB631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089B" w14:textId="619D96D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«Учетная политика организации» (ПБУ 1/2008) (утверждено Приказом Минфина России от 06.10.2008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106н) </w:t>
            </w:r>
          </w:p>
        </w:tc>
      </w:tr>
      <w:tr w:rsidR="00BC637F" w:rsidRPr="003E37F2" w14:paraId="17875AA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538" w14:textId="4FE6AD4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9406" w14:textId="6A6C80B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43н)</w:t>
            </w:r>
          </w:p>
        </w:tc>
      </w:tr>
      <w:tr w:rsidR="00BC637F" w:rsidRPr="003E37F2" w14:paraId="2C99A92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EA7" w14:textId="17B7A61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CE1" w14:textId="310D7D47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BC637F" w:rsidRPr="003E37F2" w14:paraId="4AD5B28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F36" w14:textId="270689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4012" w14:textId="2783CFE9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BC637F" w:rsidRPr="003E37F2" w14:paraId="340FEDC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4A9" w14:textId="67729EEC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388" w14:textId="563ECB9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BC637F" w:rsidRPr="003E37F2" w14:paraId="23F9099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61" w14:textId="691EE49B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B8A" w14:textId="70206F53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BC637F" w:rsidRPr="003E37F2" w14:paraId="0AA1D4D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12F" w14:textId="376D1D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462" w14:textId="02CA753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BC637F" w:rsidRPr="003E37F2" w14:paraId="4D5BBB7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A1F" w14:textId="6A50A4A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423" w14:textId="627A4D6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BC637F" w:rsidRPr="003E37F2" w14:paraId="759E8DCA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A0C" w14:textId="706BC377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460" w14:textId="3F8AA331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11н)</w:t>
            </w:r>
          </w:p>
        </w:tc>
      </w:tr>
      <w:tr w:rsidR="00BC637F" w:rsidRPr="003E37F2" w14:paraId="7EFA25E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8E" w14:textId="66DAE1E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332" w14:textId="42410FE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BC637F" w:rsidRPr="003E37F2" w14:paraId="7927AFB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16" w14:textId="6CEF0054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F23" w14:textId="26534A0E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раскрытию информации о прибыли, приходящейся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одну акцию (утверждены Приказом Минфина России от 21.03.2000 № 29н)</w:t>
            </w:r>
          </w:p>
        </w:tc>
      </w:tr>
      <w:tr w:rsidR="00BC637F" w:rsidRPr="003E37F2" w14:paraId="23FB3F6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D9C" w14:textId="6768F6BA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05" w14:textId="70583360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BC637F" w:rsidRPr="003E37F2" w14:paraId="5839871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00" w14:textId="439F0F39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078" w14:textId="60578428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364E22" w:rsidRPr="003E37F2" w14:paraId="3D18DCE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4F" w14:textId="5C852CEE" w:rsidR="00364E22" w:rsidRPr="003E37F2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CAEE" w14:textId="466D3313" w:rsidR="00364E22" w:rsidRPr="00A712D1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3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364E22" w:rsidRPr="003E37F2" w14:paraId="2C798400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A87" w14:textId="7F723632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9CF" w14:textId="38E9DF8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E825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90D" w14:textId="30F0083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9C2" w14:textId="7F10BA6D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73F428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AC9" w14:textId="2AFAB3F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AFB" w14:textId="342766BC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6A7E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A42" w14:textId="6C9E8EE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547" w14:textId="33E66B3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3D07893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78" w14:textId="3DA28EEB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62F0" w14:textId="35FD36A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0C3320C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33D" w14:textId="788D58E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3F" w14:textId="5EB7DBC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9E2A8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06" w14:textId="0CEEB56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03B" w14:textId="3BE296D1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99C3011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7A" w14:textId="4BB6D48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84" w14:textId="417CA78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F15801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BE9" w14:textId="1447AAA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62B" w14:textId="5F3752C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09B63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5E7" w14:textId="65B3D46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E7B" w14:textId="4140624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ED35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71C" w14:textId="0FEF3AF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837" w14:textId="4E53D3DB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466FFD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F4D" w14:textId="4355E44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259" w14:textId="10C6EF1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E1CF0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9F6" w14:textId="18C21D08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5D80" w14:textId="1D8682E0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165A179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B53" w14:textId="3706EC3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28E" w14:textId="55B84B3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51F816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1F1" w14:textId="507B18F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088B" w14:textId="50385AF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70BAC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0B5" w14:textId="6AF8BBCE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6FF" w14:textId="1ECA50B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B326E" w14:paraId="210FECF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FC2" w14:textId="23E839E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2B6" w14:textId="1C777838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8430D" w14:paraId="0A4D8374" w14:textId="77777777" w:rsidTr="00E74FFE">
        <w:tc>
          <w:tcPr>
            <w:tcW w:w="576" w:type="dxa"/>
          </w:tcPr>
          <w:p w14:paraId="262EDAD1" w14:textId="77777777" w:rsidR="00BC637F" w:rsidRPr="0068430D" w:rsidRDefault="00BC637F" w:rsidP="0061700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bookmarkEnd w:id="1"/>
        <w:tc>
          <w:tcPr>
            <w:tcW w:w="8995" w:type="dxa"/>
            <w:shd w:val="clear" w:color="auto" w:fill="auto"/>
          </w:tcPr>
          <w:p w14:paraId="34F085E5" w14:textId="3C911DBE" w:rsidR="00BC637F" w:rsidRPr="0068430D" w:rsidRDefault="00BC637F" w:rsidP="0061700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BC637F" w:rsidRPr="00DB326E" w14:paraId="0BB112D7" w14:textId="77777777" w:rsidTr="00E74FFE">
        <w:tc>
          <w:tcPr>
            <w:tcW w:w="576" w:type="dxa"/>
          </w:tcPr>
          <w:p w14:paraId="6C62D1D3" w14:textId="684E986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5" w:type="dxa"/>
            <w:shd w:val="clear" w:color="auto" w:fill="auto"/>
          </w:tcPr>
          <w:p w14:paraId="73B1EBD4" w14:textId="6CAC6BAE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Банка России от 28.12.2015 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BC637F" w:rsidRPr="00DB326E" w14:paraId="79A23E14" w14:textId="77777777" w:rsidTr="00E74FFE">
        <w:tc>
          <w:tcPr>
            <w:tcW w:w="576" w:type="dxa"/>
          </w:tcPr>
          <w:p w14:paraId="1704DEF2" w14:textId="3E81A19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5" w:type="dxa"/>
            <w:shd w:val="clear" w:color="auto" w:fill="auto"/>
          </w:tcPr>
          <w:p w14:paraId="232C6819" w14:textId="42F5F7FB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ие Банка России от 04.09.2015 №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BC637F" w:rsidRPr="00DB326E" w14:paraId="560E8B16" w14:textId="77777777" w:rsidTr="00E74FFE">
        <w:tc>
          <w:tcPr>
            <w:tcW w:w="576" w:type="dxa"/>
          </w:tcPr>
          <w:p w14:paraId="0F729E0B" w14:textId="6C6AEF87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60346B8B" w14:textId="70E494E5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16.11.2016 № 558-П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формирования страховых резервов по страхованию иному, чем страхование жизни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DB326E" w14:paraId="5BFA0ED6" w14:textId="77777777" w:rsidTr="00E74FFE">
        <w:tc>
          <w:tcPr>
            <w:tcW w:w="576" w:type="dxa"/>
          </w:tcPr>
          <w:p w14:paraId="28488B87" w14:textId="6208675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5" w:type="dxa"/>
            <w:shd w:val="clear" w:color="auto" w:fill="auto"/>
          </w:tcPr>
          <w:p w14:paraId="05D1C833" w14:textId="797DF9C9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27.02.2017 № 579-П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Плане счетов бухгалтерского учета для кредитных орган</w:t>
            </w:r>
            <w:r w:rsidR="00442297">
              <w:rPr>
                <w:rFonts w:ascii="Times New Roman" w:hAnsi="Times New Roman" w:cs="Times New Roman"/>
                <w:sz w:val="24"/>
                <w:szCs w:val="24"/>
              </w:rPr>
              <w:t>изаций и порядке его применения</w:t>
            </w:r>
          </w:p>
        </w:tc>
      </w:tr>
      <w:tr w:rsidR="00BC637F" w:rsidRPr="00DB326E" w14:paraId="6F543102" w14:textId="77777777" w:rsidTr="00E74FFE">
        <w:tc>
          <w:tcPr>
            <w:tcW w:w="576" w:type="dxa"/>
          </w:tcPr>
          <w:p w14:paraId="417D50C5" w14:textId="11885268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5" w:type="dxa"/>
            <w:shd w:val="clear" w:color="auto" w:fill="auto"/>
          </w:tcPr>
          <w:p w14:paraId="23181E6E" w14:textId="021D84D3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BC637F" w:rsidRPr="00DB326E" w14:paraId="067549BB" w14:textId="77777777" w:rsidTr="00E74FFE">
        <w:tc>
          <w:tcPr>
            <w:tcW w:w="576" w:type="dxa"/>
          </w:tcPr>
          <w:p w14:paraId="60A4CD42" w14:textId="57187CF2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5" w:type="dxa"/>
            <w:shd w:val="clear" w:color="auto" w:fill="auto"/>
          </w:tcPr>
          <w:p w14:paraId="0BE90BC5" w14:textId="72F43814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3580-У «О представлении кредитными организациями финансовой отчетности»</w:t>
            </w:r>
          </w:p>
        </w:tc>
      </w:tr>
      <w:tr w:rsidR="00BC637F" w:rsidRPr="00DB326E" w14:paraId="225C4AB6" w14:textId="77777777" w:rsidTr="00E74FFE">
        <w:tc>
          <w:tcPr>
            <w:tcW w:w="576" w:type="dxa"/>
          </w:tcPr>
          <w:p w14:paraId="57200936" w14:textId="7C19299E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5" w:type="dxa"/>
            <w:shd w:val="clear" w:color="auto" w:fill="auto"/>
          </w:tcPr>
          <w:p w14:paraId="0D11D647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5C9A3125" w14:textId="00A8F32F" w:rsidR="00BC637F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BC637F" w:rsidRPr="00DB326E" w14:paraId="3ABA07C3" w14:textId="77777777" w:rsidTr="00E74FFE">
        <w:tc>
          <w:tcPr>
            <w:tcW w:w="576" w:type="dxa"/>
          </w:tcPr>
          <w:p w14:paraId="542C2E16" w14:textId="71E140B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5" w:type="dxa"/>
            <w:shd w:val="clear" w:color="auto" w:fill="auto"/>
          </w:tcPr>
          <w:p w14:paraId="5B4762F8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49AADBAB" w14:textId="5CAC99F6" w:rsidR="00BC637F" w:rsidRPr="00DB326E" w:rsidRDefault="00674942" w:rsidP="0067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7E236E" w:rsidRPr="00DB326E" w14:paraId="63A695C5" w14:textId="77777777" w:rsidTr="00E74FFE">
        <w:tc>
          <w:tcPr>
            <w:tcW w:w="576" w:type="dxa"/>
          </w:tcPr>
          <w:p w14:paraId="5FAF3AB4" w14:textId="3F6658B5" w:rsidR="007E236E" w:rsidRDefault="007E236E" w:rsidP="00DB32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5" w:type="dxa"/>
            <w:shd w:val="clear" w:color="auto" w:fill="auto"/>
          </w:tcPr>
          <w:p w14:paraId="0DC8991D" w14:textId="0C30FF38" w:rsidR="007E236E" w:rsidRPr="00A712D1" w:rsidRDefault="00E13CCE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236E" w:rsidRPr="00A712D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BC637F" w:rsidRPr="00DB326E" w14:paraId="2B8323A2" w14:textId="77777777" w:rsidTr="00E74FFE">
        <w:tc>
          <w:tcPr>
            <w:tcW w:w="576" w:type="dxa"/>
          </w:tcPr>
          <w:p w14:paraId="27A1AA75" w14:textId="526CC7C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08CC952A" w14:textId="4EBBBBB8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23.10.2017 № 611-П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</w:t>
            </w:r>
          </w:p>
        </w:tc>
      </w:tr>
      <w:tr w:rsidR="00BC637F" w:rsidRPr="00DB326E" w14:paraId="0DC7C5CD" w14:textId="77777777" w:rsidTr="00E74FFE">
        <w:tc>
          <w:tcPr>
            <w:tcW w:w="576" w:type="dxa"/>
          </w:tcPr>
          <w:p w14:paraId="4611B64A" w14:textId="0ACB188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5" w:type="dxa"/>
            <w:shd w:val="clear" w:color="auto" w:fill="auto"/>
          </w:tcPr>
          <w:p w14:paraId="60FABA3E" w14:textId="16C12F21" w:rsidR="00BC637F" w:rsidRPr="00DB326E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BC637F" w:rsidRPr="00DB326E" w14:paraId="424CE9A3" w14:textId="77777777" w:rsidTr="00E74FFE">
        <w:tc>
          <w:tcPr>
            <w:tcW w:w="576" w:type="dxa"/>
          </w:tcPr>
          <w:p w14:paraId="7F7F340A" w14:textId="6B65FA1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739BFD2F" w14:textId="0B1D562A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26.04.2006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BC637F" w:rsidRPr="00DB326E" w14:paraId="2D85E705" w14:textId="77777777" w:rsidTr="00E74FFE">
        <w:tc>
          <w:tcPr>
            <w:tcW w:w="576" w:type="dxa"/>
          </w:tcPr>
          <w:p w14:paraId="64EE0D50" w14:textId="3531BCE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2492DEBC" w14:textId="77777777" w:rsidR="00474446" w:rsidRPr="00474446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1BABEBE8" w14:textId="52B83E90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"Об обязательных нормативах небанковских кредитных организаций, имеющих право на осуществление переводов денежных средств без открытия банковских 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BC637F" w:rsidRPr="00DB326E" w14:paraId="61E52777" w14:textId="77777777" w:rsidTr="00E74FFE">
        <w:tc>
          <w:tcPr>
            <w:tcW w:w="576" w:type="dxa"/>
          </w:tcPr>
          <w:p w14:paraId="59CFC529" w14:textId="7972F08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995" w:type="dxa"/>
            <w:shd w:val="clear" w:color="auto" w:fill="auto"/>
          </w:tcPr>
          <w:p w14:paraId="04FC6617" w14:textId="27B62C42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BC637F" w:rsidRPr="00DB326E" w14:paraId="2B974027" w14:textId="77777777" w:rsidTr="00E74FFE">
        <w:tc>
          <w:tcPr>
            <w:tcW w:w="576" w:type="dxa"/>
          </w:tcPr>
          <w:p w14:paraId="261F536E" w14:textId="08F407AF" w:rsidR="00BC637F" w:rsidRPr="00DB326E" w:rsidRDefault="006A7FCD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2F27F964" w14:textId="471DF8D9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BC637F" w:rsidRPr="00DB326E" w14:paraId="5BC382B5" w14:textId="77777777" w:rsidTr="00E74FFE">
        <w:tc>
          <w:tcPr>
            <w:tcW w:w="576" w:type="dxa"/>
          </w:tcPr>
          <w:p w14:paraId="45BBF66B" w14:textId="31603BE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6484F54D" w14:textId="131D5A69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22.12.2014 № 446-П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определения доходов, расходов и прочего совокупного дохода кредитных организаций </w:t>
            </w:r>
          </w:p>
        </w:tc>
      </w:tr>
      <w:tr w:rsidR="00BC637F" w:rsidRPr="00DB326E" w14:paraId="4A9B4E90" w14:textId="77777777" w:rsidTr="00E74FFE">
        <w:tc>
          <w:tcPr>
            <w:tcW w:w="576" w:type="dxa"/>
          </w:tcPr>
          <w:p w14:paraId="4F8F1ED4" w14:textId="23C0AB70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767A3DA1" w14:textId="56E94F2C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BC637F" w:rsidRPr="00DB326E" w14:paraId="7F18F8BC" w14:textId="77777777" w:rsidTr="00E74FFE">
        <w:tc>
          <w:tcPr>
            <w:tcW w:w="576" w:type="dxa"/>
          </w:tcPr>
          <w:p w14:paraId="1DD4264B" w14:textId="67418CA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5" w:type="dxa"/>
            <w:shd w:val="clear" w:color="auto" w:fill="auto"/>
          </w:tcPr>
          <w:p w14:paraId="4321B491" w14:textId="68223C71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11.03.2015 № 462-П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BC637F" w:rsidRPr="00DB326E" w14:paraId="59385E43" w14:textId="77777777" w:rsidTr="00E74FFE">
        <w:tc>
          <w:tcPr>
            <w:tcW w:w="576" w:type="dxa"/>
          </w:tcPr>
          <w:p w14:paraId="659EF670" w14:textId="1B63951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5" w:type="dxa"/>
            <w:shd w:val="clear" w:color="auto" w:fill="auto"/>
          </w:tcPr>
          <w:p w14:paraId="7C0B513C" w14:textId="6ECDBB7F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BC637F" w:rsidRPr="00DB326E" w14:paraId="24601E55" w14:textId="77777777" w:rsidTr="00E74FFE">
        <w:tc>
          <w:tcPr>
            <w:tcW w:w="576" w:type="dxa"/>
          </w:tcPr>
          <w:p w14:paraId="0DDEE45E" w14:textId="54B68A0A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628506BB" w14:textId="1E6117E8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BC637F" w:rsidRPr="00DB326E" w14:paraId="26EDF52C" w14:textId="77777777" w:rsidTr="00E74FFE">
        <w:tc>
          <w:tcPr>
            <w:tcW w:w="576" w:type="dxa"/>
          </w:tcPr>
          <w:p w14:paraId="7EC2757F" w14:textId="5D886A0F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5" w:type="dxa"/>
            <w:shd w:val="clear" w:color="auto" w:fill="auto"/>
          </w:tcPr>
          <w:p w14:paraId="16787A06" w14:textId="3AEBAFC2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BC637F" w:rsidRPr="00DB326E" w14:paraId="752D22B7" w14:textId="77777777" w:rsidTr="00E74FFE">
        <w:tc>
          <w:tcPr>
            <w:tcW w:w="576" w:type="dxa"/>
          </w:tcPr>
          <w:p w14:paraId="12F00B62" w14:textId="7F712D51" w:rsidR="00BC637F" w:rsidRPr="00DB326E" w:rsidRDefault="006A7FCD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3741DFA2" w14:textId="0475B424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28.12.2015 № 527-П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BC637F" w:rsidRPr="00DB326E" w14:paraId="261ADF58" w14:textId="77777777" w:rsidTr="00E74FFE">
        <w:tc>
          <w:tcPr>
            <w:tcW w:w="576" w:type="dxa"/>
          </w:tcPr>
          <w:p w14:paraId="505ACA4A" w14:textId="0B035634" w:rsidR="00BC637F" w:rsidRPr="00DB326E" w:rsidRDefault="006A7FCD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5F99B0A7" w14:textId="328C6A92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05.11.2015 № 502-П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BC637F" w:rsidRPr="00DB326E" w14:paraId="27C649D7" w14:textId="77777777" w:rsidTr="00E74FFE">
        <w:tc>
          <w:tcPr>
            <w:tcW w:w="576" w:type="dxa"/>
          </w:tcPr>
          <w:p w14:paraId="0171C00E" w14:textId="3C310BEC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5" w:type="dxa"/>
            <w:shd w:val="clear" w:color="auto" w:fill="auto"/>
          </w:tcPr>
          <w:p w14:paraId="07C4E65E" w14:textId="4FE1444C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03.02.2016 № 532-П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BC637F" w:rsidRPr="00DB326E" w14:paraId="3D045D9E" w14:textId="77777777" w:rsidTr="00E74FFE">
        <w:tc>
          <w:tcPr>
            <w:tcW w:w="576" w:type="dxa"/>
          </w:tcPr>
          <w:p w14:paraId="0152A58A" w14:textId="6EEB607E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7D0B7E97" w14:textId="1005E89C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613-П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BC637F" w:rsidRPr="00DB326E" w14:paraId="66EB4C4C" w14:textId="77777777" w:rsidTr="00E74FFE">
        <w:tc>
          <w:tcPr>
            <w:tcW w:w="576" w:type="dxa"/>
          </w:tcPr>
          <w:p w14:paraId="1163752F" w14:textId="5F116EFE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95" w:type="dxa"/>
            <w:shd w:val="clear" w:color="auto" w:fill="auto"/>
          </w:tcPr>
          <w:p w14:paraId="6B884C7D" w14:textId="4DB969B6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614-П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BF6A1A" w:rsidRPr="00DB326E" w14:paraId="7F28B31C" w14:textId="77777777" w:rsidTr="00E74FFE">
        <w:tc>
          <w:tcPr>
            <w:tcW w:w="576" w:type="dxa"/>
          </w:tcPr>
          <w:p w14:paraId="2062DBD9" w14:textId="3ADBF4CB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995" w:type="dxa"/>
            <w:shd w:val="clear" w:color="auto" w:fill="auto"/>
          </w:tcPr>
          <w:p w14:paraId="7890056A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B98C776" w14:textId="4ED3A5B5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BF6A1A" w:rsidRPr="00DB326E" w14:paraId="69353F36" w14:textId="77777777" w:rsidTr="00E74FFE">
        <w:tc>
          <w:tcPr>
            <w:tcW w:w="576" w:type="dxa"/>
          </w:tcPr>
          <w:p w14:paraId="16E45DCE" w14:textId="234AE684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77500F58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1EF6CFE" w14:textId="1275DE08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BF6A1A" w:rsidRPr="00DB326E" w14:paraId="7ADC10E3" w14:textId="77777777" w:rsidTr="00E74FFE">
        <w:tc>
          <w:tcPr>
            <w:tcW w:w="576" w:type="dxa"/>
          </w:tcPr>
          <w:p w14:paraId="73D49119" w14:textId="0B7A167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5" w:type="dxa"/>
            <w:shd w:val="clear" w:color="auto" w:fill="auto"/>
          </w:tcPr>
          <w:p w14:paraId="4C80F087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3CCF617F" w14:textId="09984483" w:rsidR="00BF6A1A" w:rsidRPr="00A712D1" w:rsidRDefault="00BF6A1A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BF6A1A" w:rsidRPr="00DB326E" w14:paraId="254FB872" w14:textId="77777777" w:rsidTr="00E74FFE">
        <w:tc>
          <w:tcPr>
            <w:tcW w:w="576" w:type="dxa"/>
          </w:tcPr>
          <w:p w14:paraId="08B6001C" w14:textId="65BCBC21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5" w:type="dxa"/>
            <w:shd w:val="clear" w:color="auto" w:fill="auto"/>
          </w:tcPr>
          <w:p w14:paraId="07BCE4CF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492ED936" w14:textId="2888F190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BF6A1A" w:rsidRPr="00DB326E" w14:paraId="10548F9A" w14:textId="77777777" w:rsidTr="00E74FFE">
        <w:tc>
          <w:tcPr>
            <w:tcW w:w="576" w:type="dxa"/>
          </w:tcPr>
          <w:p w14:paraId="0977EE1F" w14:textId="148A233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5" w:type="dxa"/>
            <w:shd w:val="clear" w:color="auto" w:fill="auto"/>
          </w:tcPr>
          <w:p w14:paraId="1CC785D4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F6D4F5" w14:textId="28A7EEDD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F7D81" w:rsidRPr="00DB326E" w14:paraId="73715E10" w14:textId="77777777" w:rsidTr="00E74FFE">
        <w:tc>
          <w:tcPr>
            <w:tcW w:w="576" w:type="dxa"/>
          </w:tcPr>
          <w:p w14:paraId="6F559F25" w14:textId="31B984AF" w:rsidR="001F7D81" w:rsidRDefault="001F7D81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5" w:type="dxa"/>
            <w:shd w:val="clear" w:color="auto" w:fill="auto"/>
          </w:tcPr>
          <w:p w14:paraId="4DA44CAC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331E43F8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2B2240A2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42C750BE" w14:textId="77777777" w:rsidR="001F7D81" w:rsidRPr="00A712D1" w:rsidRDefault="001F7D81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5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E13CCE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</w:t>
            </w:r>
            <w:proofErr w:type="gramStart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 и ее</w:t>
            </w:r>
            <w:proofErr w:type="gramEnd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34910DD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3978C443" w:rsidR="007C3695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7EAC16" w14:textId="503A03FD" w:rsidR="007C3695" w:rsidRPr="0094738E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0D03979D" w14:textId="77777777" w:rsidTr="00F722E9">
        <w:tc>
          <w:tcPr>
            <w:tcW w:w="534" w:type="dxa"/>
          </w:tcPr>
          <w:p w14:paraId="0AE396EA" w14:textId="2B1CDCBE" w:rsidR="007C3695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8213538" w14:textId="44667ED7" w:rsidR="007C3695" w:rsidRPr="00A712D1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5DFC904D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1F02C8C4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28CC2273" w14:textId="5F2F9FCD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71449443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408135" w14:textId="69840A3B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233 с. ISBN 978-5-534-10602-2. ЭБС https://biblio-online.ru/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668A83BD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5BB5B633" w:rsidR="00DE52F8" w:rsidRPr="00A26866" w:rsidRDefault="005D6307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481 с.  ISBN 978-5-534-11138-5. ЭБС https://biblio-online.ru/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3325A729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159429DE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DE52F8" w:rsidRPr="009D2643" w14:paraId="5B6607D2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3" w14:textId="5B80EDC7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71" w14:textId="483CD884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Мельник М.В., Ефимова О.В. и др.  Анализ финансовой отчетности. - М.: Омега-Л, 2013. – 388 с.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 978-5-370-02671-3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29C5AB2B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530BAC8B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2020. – 269 с. ISBN: 978-5-9558-0489-7. ЭБС https://Znanium.com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17CBEA5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56D84E8C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 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 2019. Часть 1. 390 с. ISBN: 9785534058680, часть 2. 270 с. </w:t>
            </w: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ISBN: 9785534058710 ЭБС https://biblio-online.ru/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5C73680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2020.  –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7709" w:rsidRPr="0068430D" w14:paraId="0E290BAA" w14:textId="77777777" w:rsidTr="00F722E9">
        <w:tc>
          <w:tcPr>
            <w:tcW w:w="534" w:type="dxa"/>
          </w:tcPr>
          <w:p w14:paraId="15101908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BAAA6E" w14:textId="04473503" w:rsidR="00887709" w:rsidRPr="0068430D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F68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34249" w:rsidRPr="00A4365A" w14:paraId="108132F3" w14:textId="77777777" w:rsidTr="00F722E9">
        <w:tc>
          <w:tcPr>
            <w:tcW w:w="534" w:type="dxa"/>
          </w:tcPr>
          <w:p w14:paraId="1697BFE9" w14:textId="67B68755" w:rsidR="00834249" w:rsidRPr="00A4365A" w:rsidRDefault="00AF6821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ECBEE49" w14:textId="50B1468E" w:rsidR="00834249" w:rsidRPr="00A4365A" w:rsidRDefault="00AF6821" w:rsidP="0062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AF6821" w:rsidRPr="00A4365A" w14:paraId="33666BB1" w14:textId="77777777" w:rsidTr="00F722E9">
        <w:tc>
          <w:tcPr>
            <w:tcW w:w="534" w:type="dxa"/>
          </w:tcPr>
          <w:p w14:paraId="63F88A3F" w14:textId="6072BF50" w:rsidR="00AF6821" w:rsidRPr="00887709" w:rsidRDefault="00AF6821" w:rsidP="008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0DC6DA0" w14:textId="40887525" w:rsidR="00AF6821" w:rsidRPr="00887709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2020. — 469 с.  ISBN 978-5-534-11138-5. ЭБС https://urait.ru/</w:t>
            </w:r>
          </w:p>
        </w:tc>
      </w:tr>
      <w:tr w:rsidR="00AF6821" w:rsidRPr="0068430D" w14:paraId="39119CEA" w14:textId="77777777" w:rsidTr="00F722E9">
        <w:tc>
          <w:tcPr>
            <w:tcW w:w="534" w:type="dxa"/>
          </w:tcPr>
          <w:p w14:paraId="51E5E059" w14:textId="77777777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BCB809C" w14:textId="2842159E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AF6821" w:rsidRPr="00A4365A" w14:paraId="4B8A51EB" w14:textId="77777777" w:rsidTr="00F722E9">
        <w:trPr>
          <w:trHeight w:val="274"/>
        </w:trPr>
        <w:tc>
          <w:tcPr>
            <w:tcW w:w="534" w:type="dxa"/>
          </w:tcPr>
          <w:p w14:paraId="7C4E65BD" w14:textId="2D224E6F" w:rsidR="00AF6821" w:rsidRPr="00A4365A" w:rsidRDefault="00AF6821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3BD9858" w14:textId="1C73E6FD" w:rsidR="00AF6821" w:rsidRPr="00A4365A" w:rsidRDefault="00AF6821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AF6821" w:rsidRPr="00A4365A" w14:paraId="7991B9A2" w14:textId="77777777" w:rsidTr="00F722E9">
        <w:tc>
          <w:tcPr>
            <w:tcW w:w="534" w:type="dxa"/>
          </w:tcPr>
          <w:p w14:paraId="6D4AABC2" w14:textId="1827C128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4757838" w14:textId="25713D98" w:rsidR="00AF6821" w:rsidRPr="00A4365A" w:rsidRDefault="00AF6821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AF6821" w:rsidRPr="00A4365A" w14:paraId="0DBBD283" w14:textId="77777777" w:rsidTr="00F722E9">
        <w:tc>
          <w:tcPr>
            <w:tcW w:w="534" w:type="dxa"/>
          </w:tcPr>
          <w:p w14:paraId="3B20675F" w14:textId="4829E449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8B6C04" w14:textId="0454C737" w:rsidR="00AF6821" w:rsidRPr="00A4365A" w:rsidRDefault="00AF6821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AF6821" w:rsidRPr="00A4365A" w14:paraId="48B67F71" w14:textId="77777777" w:rsidTr="00F722E9">
        <w:tc>
          <w:tcPr>
            <w:tcW w:w="534" w:type="dxa"/>
          </w:tcPr>
          <w:p w14:paraId="2B214653" w14:textId="0A27ACAC" w:rsidR="00AF6821" w:rsidRPr="00A4365A" w:rsidRDefault="00AF6821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3D6F65F" w14:textId="436B3809" w:rsidR="00AF6821" w:rsidRPr="00A4365A" w:rsidRDefault="00AF6821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AF6821" w:rsidRPr="00A4365A" w14:paraId="52F02F5E" w14:textId="77777777" w:rsidTr="00F722E9">
        <w:tc>
          <w:tcPr>
            <w:tcW w:w="534" w:type="dxa"/>
          </w:tcPr>
          <w:p w14:paraId="5ADE4A44" w14:textId="1B692862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2D7915A" w14:textId="57F1226B" w:rsidR="00AF6821" w:rsidRPr="00AF6821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AF6821" w:rsidRPr="0068430D" w14:paraId="1A8C3344" w14:textId="77777777" w:rsidTr="00F722E9">
        <w:tc>
          <w:tcPr>
            <w:tcW w:w="534" w:type="dxa"/>
          </w:tcPr>
          <w:p w14:paraId="0973FEAE" w14:textId="2F180865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A132EDE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№ 402-ФЗ «О бухгалтерском учете» (ст. 19) </w:t>
            </w:r>
          </w:p>
          <w:p w14:paraId="7CF9FA66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&lt;Информация&gt; Минфина России N ПЗ-11/2013</w:t>
            </w:r>
          </w:p>
          <w:p w14:paraId="41B6BD62" w14:textId="1D080FA5" w:rsidR="00AF6821" w:rsidRPr="00AF6821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68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</w:t>
            </w:r>
          </w:p>
        </w:tc>
      </w:tr>
      <w:tr w:rsidR="00AF6821" w:rsidRPr="00FE7D9B" w14:paraId="65BCF209" w14:textId="77777777" w:rsidTr="00F722E9">
        <w:trPr>
          <w:trHeight w:val="240"/>
        </w:trPr>
        <w:tc>
          <w:tcPr>
            <w:tcW w:w="534" w:type="dxa"/>
          </w:tcPr>
          <w:p w14:paraId="4ABAE7CA" w14:textId="4806D03A" w:rsidR="00AF6821" w:rsidRPr="00FE7D9B" w:rsidRDefault="00AF6821" w:rsidP="007C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37B2165" w14:textId="594CF8B1" w:rsidR="00AF6821" w:rsidRPr="00FE7D9B" w:rsidRDefault="00AF6821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AF6821" w:rsidRPr="00FE7D9B" w14:paraId="371906FB" w14:textId="77777777" w:rsidTr="00F722E9">
        <w:tc>
          <w:tcPr>
            <w:tcW w:w="534" w:type="dxa"/>
            <w:shd w:val="clear" w:color="auto" w:fill="FFFFFF"/>
          </w:tcPr>
          <w:p w14:paraId="107B969B" w14:textId="486F0A20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78ED90A3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7C648396" w14:textId="4CD2C47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AF6821" w:rsidRPr="008C6F78" w14:paraId="2F0CB545" w14:textId="77777777" w:rsidTr="00F722E9">
        <w:tc>
          <w:tcPr>
            <w:tcW w:w="534" w:type="dxa"/>
          </w:tcPr>
          <w:p w14:paraId="66BF3D95" w14:textId="66E44B49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4CC7B776" w14:textId="77777777" w:rsidR="00AF6821" w:rsidRPr="00AF6821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62D9DD4" w14:textId="24D6067B" w:rsidR="00AF6821" w:rsidRPr="00AF6821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AF6821" w:rsidRPr="00FE7D9B" w14:paraId="3D521141" w14:textId="77777777" w:rsidTr="00F722E9">
        <w:tc>
          <w:tcPr>
            <w:tcW w:w="534" w:type="dxa"/>
          </w:tcPr>
          <w:p w14:paraId="1451FAA8" w14:textId="5F290B4E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41C363A4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 (часть первая) от 31.07.1998 № 146-ФЗ: Раздел V.2. (введен Федеральным законом от 04.11.2014 N 348-ФЗ)</w:t>
            </w:r>
          </w:p>
          <w:p w14:paraId="7FD264F0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16.06.2017 N ММВ-7-15/509@</w:t>
            </w:r>
          </w:p>
          <w:p w14:paraId="45774DA3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контроля"</w:t>
            </w:r>
          </w:p>
          <w:p w14:paraId="1592D716" w14:textId="0CEA4933" w:rsidR="00AF6821" w:rsidRPr="00FE7D9B" w:rsidRDefault="00AF6821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04.10.2017 N 48424)</w:t>
            </w:r>
          </w:p>
        </w:tc>
      </w:tr>
      <w:tr w:rsidR="00AF6821" w:rsidRPr="00FE7D9B" w14:paraId="34890C8B" w14:textId="77777777" w:rsidTr="00F722E9">
        <w:tc>
          <w:tcPr>
            <w:tcW w:w="534" w:type="dxa"/>
          </w:tcPr>
          <w:p w14:paraId="1A539166" w14:textId="44A39CBB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BE25277" w14:textId="77777777" w:rsidR="00AF6821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106CAF2D" w14:textId="44828343" w:rsidR="00AF6821" w:rsidRPr="00FE7D9B" w:rsidRDefault="00AF6821" w:rsidP="008C6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AF6821" w:rsidRPr="00FE7D9B" w14:paraId="1BB8CAF8" w14:textId="77777777" w:rsidTr="00F722E9">
        <w:tc>
          <w:tcPr>
            <w:tcW w:w="534" w:type="dxa"/>
          </w:tcPr>
          <w:p w14:paraId="276C22F1" w14:textId="53C09344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1A3C709C" w14:textId="5DF2679F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директоров акционерных обществ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AF6821" w:rsidRPr="00FE7D9B" w14:paraId="33E90AE7" w14:textId="77777777" w:rsidTr="00F722E9">
        <w:tc>
          <w:tcPr>
            <w:tcW w:w="534" w:type="dxa"/>
          </w:tcPr>
          <w:p w14:paraId="375B64AA" w14:textId="1DDE6FAC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auto"/>
          </w:tcPr>
          <w:p w14:paraId="4831A739" w14:textId="377E272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внутреннего аудита в акционерных обществах с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госучастием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249)</w:t>
            </w:r>
          </w:p>
        </w:tc>
      </w:tr>
      <w:tr w:rsidR="00AF6821" w:rsidRPr="00FE7D9B" w14:paraId="01C87CC4" w14:textId="77777777" w:rsidTr="00F722E9">
        <w:tc>
          <w:tcPr>
            <w:tcW w:w="534" w:type="dxa"/>
          </w:tcPr>
          <w:p w14:paraId="0E54078E" w14:textId="796ED66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48B27893" w14:textId="7DB0448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76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</w:t>
            </w:r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структурах с участием Российской Федерации (утверждены приказом </w:t>
            </w:r>
            <w:proofErr w:type="spellStart"/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AF6821" w:rsidRPr="00FE7D9B" w14:paraId="597942CB" w14:textId="77777777" w:rsidTr="00F722E9">
        <w:tc>
          <w:tcPr>
            <w:tcW w:w="534" w:type="dxa"/>
          </w:tcPr>
          <w:p w14:paraId="67A17A39" w14:textId="2C23FABF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C1840C2" w14:textId="6E41CE9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(утвержден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15.11.2012 № 813-ст)</w:t>
            </w:r>
          </w:p>
        </w:tc>
      </w:tr>
      <w:tr w:rsidR="00AF6821" w:rsidRPr="00FE7D9B" w14:paraId="6BA33CAB" w14:textId="77777777" w:rsidTr="00F722E9">
        <w:tc>
          <w:tcPr>
            <w:tcW w:w="534" w:type="dxa"/>
          </w:tcPr>
          <w:p w14:paraId="3B93D3C5" w14:textId="7B57363E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1C044A4D" w14:textId="6979261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Ростехрегулирования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27.12.2006 № 375-ст)</w:t>
            </w:r>
          </w:p>
        </w:tc>
      </w:tr>
    </w:tbl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68430D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68430D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E13CCE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8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20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EC2CF7" w14:textId="77777777" w:rsidR="00EF3321" w:rsidRPr="0068430D" w:rsidRDefault="00EF3321" w:rsidP="00EF332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8925DA4" w14:textId="77777777" w:rsidTr="00C20CBE">
        <w:tc>
          <w:tcPr>
            <w:tcW w:w="534" w:type="dxa"/>
          </w:tcPr>
          <w:p w14:paraId="3C46EB29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83DDE9F" w14:textId="1EDA6AFB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C20CBE" w:rsidRPr="00BB0440" w14:paraId="0B619C28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FAD0" w14:textId="159978C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322" w14:textId="0306BD90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D476EE" w:rsidRPr="00BB0440" w14:paraId="1C1E9860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B6355" w14:textId="67E19E38" w:rsidR="00D476EE" w:rsidRPr="00BB0440" w:rsidRDefault="00D476E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AB064FA" w14:textId="19903020" w:rsidR="00D476EE" w:rsidRPr="00F16F22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ст. 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146-151, 153-156, 159-161,162, 163-16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, 170-174,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-177)</w:t>
            </w:r>
          </w:p>
        </w:tc>
      </w:tr>
      <w:tr w:rsidR="00D476EE" w:rsidRPr="00BB0440" w14:paraId="2F1C539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D41" w14:textId="77777777" w:rsidR="00D476EE" w:rsidRPr="00BB0440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5901A4CE" w14:textId="4B92F40C" w:rsidR="00D476EE" w:rsidRPr="00F16F22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-186, 187,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22CBDD72" w14:textId="77777777" w:rsidTr="00C20CBE">
        <w:tc>
          <w:tcPr>
            <w:tcW w:w="534" w:type="dxa"/>
          </w:tcPr>
          <w:p w14:paraId="6ABE60AC" w14:textId="32E58182" w:rsidR="00F722E9" w:rsidRPr="00BB0440" w:rsidRDefault="00100FD0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07D5252" w14:textId="6D477E1F" w:rsidR="00F722E9" w:rsidRPr="00BB0440" w:rsidRDefault="00F722E9" w:rsidP="004B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722E9" w:rsidRPr="00BB0440" w14:paraId="1B17A4E7" w14:textId="77777777" w:rsidTr="00C20CBE">
        <w:tc>
          <w:tcPr>
            <w:tcW w:w="534" w:type="dxa"/>
          </w:tcPr>
          <w:p w14:paraId="33DE17EC" w14:textId="65E75E59" w:rsidR="00F722E9" w:rsidRPr="00BB0440" w:rsidRDefault="00100FD0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1FB2719" w14:textId="3F84A706" w:rsidR="00F722E9" w:rsidRPr="00BB0440" w:rsidRDefault="00F722E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D476EE" w:rsidRPr="00BB0440" w14:paraId="1A577571" w14:textId="77777777" w:rsidTr="00C20CBE">
        <w:tc>
          <w:tcPr>
            <w:tcW w:w="534" w:type="dxa"/>
          </w:tcPr>
          <w:p w14:paraId="7E3A16EA" w14:textId="4FADFAA6" w:rsidR="00D476EE" w:rsidRPr="00BB0440" w:rsidRDefault="00D476EE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51DFBF2" w14:textId="691D7557" w:rsidR="00D476EE" w:rsidRPr="00BB0440" w:rsidRDefault="00D476EE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(ст.71, 72; Приложение № 18 «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 механизме </w:t>
            </w:r>
            <w:proofErr w:type="gramStart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722E9" w:rsidRPr="00BB0440" w14:paraId="6869A7C7" w14:textId="77777777" w:rsidTr="00C20CBE">
        <w:tc>
          <w:tcPr>
            <w:tcW w:w="534" w:type="dxa"/>
          </w:tcPr>
          <w:p w14:paraId="0549639C" w14:textId="1C0F10C4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284133B6" w14:textId="158E0B04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F722E9" w:rsidRPr="00BB0440" w14:paraId="67DD1108" w14:textId="77777777" w:rsidTr="00C20CBE">
        <w:tc>
          <w:tcPr>
            <w:tcW w:w="534" w:type="dxa"/>
          </w:tcPr>
          <w:p w14:paraId="04EC9632" w14:textId="51769F9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8567541" w14:textId="7794A43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  <w:r w:rsidR="00D476EE">
              <w:rPr>
                <w:rFonts w:ascii="Times New Roman" w:hAnsi="Times New Roman"/>
                <w:sz w:val="24"/>
                <w:szCs w:val="24"/>
              </w:rPr>
              <w:t xml:space="preserve"> (ст.50-71)</w:t>
            </w:r>
          </w:p>
        </w:tc>
      </w:tr>
      <w:tr w:rsidR="00F722E9" w:rsidRPr="00BB0440" w14:paraId="78F8A7F1" w14:textId="77777777" w:rsidTr="00C20CBE">
        <w:tc>
          <w:tcPr>
            <w:tcW w:w="534" w:type="dxa"/>
          </w:tcPr>
          <w:p w14:paraId="493C6A80" w14:textId="6769E37E" w:rsidR="00F722E9" w:rsidRPr="00BB0440" w:rsidRDefault="007C056B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9B251CA" w14:textId="2D38614F" w:rsidR="00F722E9" w:rsidRPr="00BB0440" w:rsidRDefault="00171C8F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722E9" w:rsidRPr="0068430D" w14:paraId="6AA4E185" w14:textId="77777777" w:rsidTr="00C20CBE">
        <w:tc>
          <w:tcPr>
            <w:tcW w:w="534" w:type="dxa"/>
          </w:tcPr>
          <w:p w14:paraId="6A781C6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0241D8" w14:textId="2DCE9D5F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F16F22" w:rsidRPr="00BB0440" w14:paraId="2A81C715" w14:textId="77777777" w:rsidTr="00F16F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7ACD" w14:textId="6B889044" w:rsidR="00F16F22" w:rsidRPr="00BB0440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44A" w14:textId="7F7B3039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F73593"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6EE" w:rsidRPr="00BB0440" w14:paraId="74825E56" w14:textId="77777777" w:rsidTr="00F16F2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4DDB" w14:textId="77777777" w:rsidR="00D476EE" w:rsidRPr="00BB0440" w:rsidRDefault="00D476E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FBF2F32" w14:textId="62006177" w:rsidR="00D476EE" w:rsidRPr="00F16F22" w:rsidRDefault="00D476EE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247-264, 265, 266, 267, 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275, 276, 277, 279, 280, 281, 283,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296, 298-299, 305-312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313 – 320, 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7672F45F" w14:textId="77777777" w:rsidTr="00C20CBE">
        <w:tc>
          <w:tcPr>
            <w:tcW w:w="534" w:type="dxa"/>
          </w:tcPr>
          <w:p w14:paraId="5ACE4147" w14:textId="669EC5BA" w:rsidR="00F722E9" w:rsidRPr="007B18A9" w:rsidRDefault="007C056B" w:rsidP="00F1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C355E65" w14:textId="7FD22EA6" w:rsidR="007B18A9" w:rsidRPr="00BB0440" w:rsidRDefault="00F722E9" w:rsidP="007B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23.09.2019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ММВ-7-3/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475@ «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в электронной форме»</w:t>
            </w:r>
          </w:p>
        </w:tc>
      </w:tr>
      <w:tr w:rsidR="00F722E9" w:rsidRPr="0068430D" w14:paraId="66EDAAD0" w14:textId="77777777" w:rsidTr="00C20CBE">
        <w:tc>
          <w:tcPr>
            <w:tcW w:w="534" w:type="dxa"/>
          </w:tcPr>
          <w:p w14:paraId="035CC5A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39C86D6" w14:textId="35AB2FFD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D476EE" w:rsidRPr="00D476EE" w14:paraId="233346B7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8D" w14:textId="01DE5EF2" w:rsidR="00D476EE" w:rsidRPr="00D476EE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D0E" w14:textId="7F267ED1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D476EE" w:rsidRPr="00D476EE" w14:paraId="2ABB2337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1152" w14:textId="77777777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12CB227" w14:textId="02DC0F5E" w:rsidR="00D476EE" w:rsidRPr="00D476EE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216-220,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6EE" w:rsidRPr="00D476EE" w14:paraId="60DDC6D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BDA6" w14:textId="77777777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842AC6D" w14:textId="4F462AF1" w:rsidR="00D476EE" w:rsidRPr="00D476EE" w:rsidRDefault="00D476EE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ст. 419-425,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431)</w:t>
            </w:r>
          </w:p>
        </w:tc>
      </w:tr>
      <w:tr w:rsidR="00F722E9" w:rsidRPr="0068430D" w14:paraId="12D135F7" w14:textId="77777777" w:rsidTr="00C20CBE">
        <w:tc>
          <w:tcPr>
            <w:tcW w:w="534" w:type="dxa"/>
          </w:tcPr>
          <w:p w14:paraId="7E3A9D17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EA1916" w14:textId="1313EB6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D11797" w:rsidRPr="00BB0440" w14:paraId="22951C39" w14:textId="77777777" w:rsidTr="00C20CBE">
        <w:tc>
          <w:tcPr>
            <w:tcW w:w="534" w:type="dxa"/>
            <w:vMerge w:val="restart"/>
          </w:tcPr>
          <w:p w14:paraId="645DC10F" w14:textId="439680E9" w:rsidR="00D11797" w:rsidRPr="00BB0440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F0FF774" w14:textId="10E4755C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11797" w:rsidRPr="00BB0440" w14:paraId="3A1A5A9C" w14:textId="77777777" w:rsidTr="00C20CBE">
        <w:tc>
          <w:tcPr>
            <w:tcW w:w="534" w:type="dxa"/>
            <w:vMerge/>
          </w:tcPr>
          <w:p w14:paraId="33D34A7E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4D686C94" w14:textId="277701B9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главы 5 и 6</w:t>
            </w:r>
          </w:p>
        </w:tc>
      </w:tr>
      <w:tr w:rsidR="00D11797" w:rsidRPr="00BB0440" w14:paraId="0E730D03" w14:textId="77777777" w:rsidTr="00C20CBE">
        <w:tc>
          <w:tcPr>
            <w:tcW w:w="534" w:type="dxa"/>
            <w:vMerge/>
          </w:tcPr>
          <w:p w14:paraId="0E1CF6EB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012DB48" w14:textId="1B89CBA2" w:rsidR="00D11797" w:rsidRPr="00BB0440" w:rsidRDefault="00D11797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и 55-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82-84,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87-89; 90-100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1797" w:rsidRPr="00BB0440" w14:paraId="5CBB2385" w14:textId="77777777" w:rsidTr="00C20CBE">
        <w:tc>
          <w:tcPr>
            <w:tcW w:w="534" w:type="dxa"/>
            <w:vMerge/>
          </w:tcPr>
          <w:p w14:paraId="1C27966A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EC6D3E0" w14:textId="1055CCE3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D11797" w:rsidRPr="00BB0440" w14:paraId="6CC0C18A" w14:textId="77777777" w:rsidTr="00C20CBE">
        <w:tc>
          <w:tcPr>
            <w:tcW w:w="534" w:type="dxa"/>
            <w:vMerge/>
          </w:tcPr>
          <w:p w14:paraId="75794EB1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24E9BEE" w14:textId="46A1DB6F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глава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ст.137-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139.3), глава 20 (ст.140-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96D2" w14:textId="77777777" w:rsidR="00276C99" w:rsidRDefault="00276C99" w:rsidP="00095B7D">
      <w:pPr>
        <w:spacing w:after="0" w:line="240" w:lineRule="auto"/>
      </w:pPr>
      <w:r>
        <w:separator/>
      </w:r>
    </w:p>
  </w:endnote>
  <w:endnote w:type="continuationSeparator" w:id="0">
    <w:p w14:paraId="14E3D019" w14:textId="77777777" w:rsidR="00276C99" w:rsidRDefault="00276C99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276C99" w:rsidRDefault="00276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CE">
          <w:rPr>
            <w:noProof/>
          </w:rPr>
          <w:t>7</w:t>
        </w:r>
        <w:r>
          <w:fldChar w:fldCharType="end"/>
        </w:r>
      </w:p>
    </w:sdtContent>
  </w:sdt>
  <w:p w14:paraId="6CB1E617" w14:textId="77777777" w:rsidR="00276C99" w:rsidRDefault="00276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76FF" w14:textId="77777777" w:rsidR="00276C99" w:rsidRDefault="00276C99" w:rsidP="00095B7D">
      <w:pPr>
        <w:spacing w:after="0" w:line="240" w:lineRule="auto"/>
      </w:pPr>
      <w:r>
        <w:separator/>
      </w:r>
    </w:p>
  </w:footnote>
  <w:footnote w:type="continuationSeparator" w:id="0">
    <w:p w14:paraId="753F770C" w14:textId="77777777" w:rsidR="00276C99" w:rsidRDefault="00276C99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F8A"/>
    <w:rsid w:val="00024452"/>
    <w:rsid w:val="00056A41"/>
    <w:rsid w:val="00067DAD"/>
    <w:rsid w:val="000736D2"/>
    <w:rsid w:val="00077EA7"/>
    <w:rsid w:val="00093384"/>
    <w:rsid w:val="00095B7D"/>
    <w:rsid w:val="000D3EC0"/>
    <w:rsid w:val="000D407E"/>
    <w:rsid w:val="000D522E"/>
    <w:rsid w:val="000F4B09"/>
    <w:rsid w:val="00100FD0"/>
    <w:rsid w:val="00102FF2"/>
    <w:rsid w:val="00104F1D"/>
    <w:rsid w:val="0011198E"/>
    <w:rsid w:val="00123F9E"/>
    <w:rsid w:val="00152FEC"/>
    <w:rsid w:val="00171C8F"/>
    <w:rsid w:val="00177280"/>
    <w:rsid w:val="00191827"/>
    <w:rsid w:val="001D0723"/>
    <w:rsid w:val="001E1A93"/>
    <w:rsid w:val="001F7D81"/>
    <w:rsid w:val="0024113F"/>
    <w:rsid w:val="00255D91"/>
    <w:rsid w:val="002665A1"/>
    <w:rsid w:val="00276C99"/>
    <w:rsid w:val="00286023"/>
    <w:rsid w:val="00291CAC"/>
    <w:rsid w:val="002A0228"/>
    <w:rsid w:val="002A0F0D"/>
    <w:rsid w:val="002A5766"/>
    <w:rsid w:val="002B2703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A7316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42297"/>
    <w:rsid w:val="0045567C"/>
    <w:rsid w:val="00457435"/>
    <w:rsid w:val="00474446"/>
    <w:rsid w:val="00476DEA"/>
    <w:rsid w:val="00485A35"/>
    <w:rsid w:val="004A05E8"/>
    <w:rsid w:val="004A28A9"/>
    <w:rsid w:val="004B700B"/>
    <w:rsid w:val="004D32FC"/>
    <w:rsid w:val="004E389E"/>
    <w:rsid w:val="00500A50"/>
    <w:rsid w:val="00502D15"/>
    <w:rsid w:val="005036F0"/>
    <w:rsid w:val="005311CA"/>
    <w:rsid w:val="00542FDF"/>
    <w:rsid w:val="00552668"/>
    <w:rsid w:val="0057352B"/>
    <w:rsid w:val="005A2C19"/>
    <w:rsid w:val="005A4220"/>
    <w:rsid w:val="005A6EAB"/>
    <w:rsid w:val="005B33EB"/>
    <w:rsid w:val="005C7E60"/>
    <w:rsid w:val="005D48C9"/>
    <w:rsid w:val="005D6307"/>
    <w:rsid w:val="005E1FC3"/>
    <w:rsid w:val="0061375B"/>
    <w:rsid w:val="00617004"/>
    <w:rsid w:val="00621AB2"/>
    <w:rsid w:val="00623932"/>
    <w:rsid w:val="00643BAE"/>
    <w:rsid w:val="00664F1A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D36BE"/>
    <w:rsid w:val="006D678B"/>
    <w:rsid w:val="006E18F7"/>
    <w:rsid w:val="006E358E"/>
    <w:rsid w:val="006F501E"/>
    <w:rsid w:val="00711AC9"/>
    <w:rsid w:val="00720E49"/>
    <w:rsid w:val="00721B50"/>
    <w:rsid w:val="00750CFA"/>
    <w:rsid w:val="00754565"/>
    <w:rsid w:val="00772246"/>
    <w:rsid w:val="00776E11"/>
    <w:rsid w:val="0078390F"/>
    <w:rsid w:val="00784433"/>
    <w:rsid w:val="007A616A"/>
    <w:rsid w:val="007B18A9"/>
    <w:rsid w:val="007C056B"/>
    <w:rsid w:val="007C3695"/>
    <w:rsid w:val="007C64B1"/>
    <w:rsid w:val="007C65C3"/>
    <w:rsid w:val="007E0131"/>
    <w:rsid w:val="007E236E"/>
    <w:rsid w:val="007F5B10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739B6"/>
    <w:rsid w:val="00884763"/>
    <w:rsid w:val="00887709"/>
    <w:rsid w:val="0089072A"/>
    <w:rsid w:val="00893DA0"/>
    <w:rsid w:val="008A7C1D"/>
    <w:rsid w:val="008B1290"/>
    <w:rsid w:val="008C6F78"/>
    <w:rsid w:val="008C796D"/>
    <w:rsid w:val="008C7D6F"/>
    <w:rsid w:val="008D04FA"/>
    <w:rsid w:val="008D7A2F"/>
    <w:rsid w:val="008E2744"/>
    <w:rsid w:val="008E3922"/>
    <w:rsid w:val="008E6823"/>
    <w:rsid w:val="008F1C83"/>
    <w:rsid w:val="00904AE8"/>
    <w:rsid w:val="0094738E"/>
    <w:rsid w:val="009731EE"/>
    <w:rsid w:val="009758E8"/>
    <w:rsid w:val="009817A0"/>
    <w:rsid w:val="00991AC9"/>
    <w:rsid w:val="009C19E8"/>
    <w:rsid w:val="009D23D5"/>
    <w:rsid w:val="009D63A4"/>
    <w:rsid w:val="00A0544D"/>
    <w:rsid w:val="00A26866"/>
    <w:rsid w:val="00A42897"/>
    <w:rsid w:val="00A4365A"/>
    <w:rsid w:val="00A5776C"/>
    <w:rsid w:val="00A70F9C"/>
    <w:rsid w:val="00A712D1"/>
    <w:rsid w:val="00A71C89"/>
    <w:rsid w:val="00A7290E"/>
    <w:rsid w:val="00A97610"/>
    <w:rsid w:val="00AB720F"/>
    <w:rsid w:val="00AC09FB"/>
    <w:rsid w:val="00AD4BF2"/>
    <w:rsid w:val="00AF6821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C1380"/>
    <w:rsid w:val="00BC3067"/>
    <w:rsid w:val="00BC3FA0"/>
    <w:rsid w:val="00BC637F"/>
    <w:rsid w:val="00BF6A1A"/>
    <w:rsid w:val="00BF7326"/>
    <w:rsid w:val="00C00240"/>
    <w:rsid w:val="00C17B26"/>
    <w:rsid w:val="00C20C11"/>
    <w:rsid w:val="00C20CBE"/>
    <w:rsid w:val="00C264EF"/>
    <w:rsid w:val="00C44CAC"/>
    <w:rsid w:val="00C61D91"/>
    <w:rsid w:val="00C66FBA"/>
    <w:rsid w:val="00C73D06"/>
    <w:rsid w:val="00C74EE0"/>
    <w:rsid w:val="00CD0D7C"/>
    <w:rsid w:val="00CD6D83"/>
    <w:rsid w:val="00D11797"/>
    <w:rsid w:val="00D20F2B"/>
    <w:rsid w:val="00D30174"/>
    <w:rsid w:val="00D40D66"/>
    <w:rsid w:val="00D4152D"/>
    <w:rsid w:val="00D476EE"/>
    <w:rsid w:val="00D61877"/>
    <w:rsid w:val="00D626FA"/>
    <w:rsid w:val="00D7095A"/>
    <w:rsid w:val="00D70D5B"/>
    <w:rsid w:val="00D92363"/>
    <w:rsid w:val="00D93CEF"/>
    <w:rsid w:val="00D9458C"/>
    <w:rsid w:val="00DA1566"/>
    <w:rsid w:val="00DA64CC"/>
    <w:rsid w:val="00DB326E"/>
    <w:rsid w:val="00DB61A2"/>
    <w:rsid w:val="00DB671E"/>
    <w:rsid w:val="00DC060E"/>
    <w:rsid w:val="00DC47B4"/>
    <w:rsid w:val="00DD0872"/>
    <w:rsid w:val="00DE52F8"/>
    <w:rsid w:val="00DF3E2F"/>
    <w:rsid w:val="00DF7E93"/>
    <w:rsid w:val="00E13CCE"/>
    <w:rsid w:val="00E32F5F"/>
    <w:rsid w:val="00E356C7"/>
    <w:rsid w:val="00E74FFE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55D3F"/>
    <w:rsid w:val="00F66222"/>
    <w:rsid w:val="00F722E9"/>
    <w:rsid w:val="00F73593"/>
    <w:rsid w:val="00F85513"/>
    <w:rsid w:val="00F93D20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document/?id_4=125979-kontseptualnye_osnovy_predstavleniya_" TargetMode="External"/><Relationship Id="rId18" Type="http://schemas.openxmlformats.org/officeDocument/2006/relationships/hyperlink" Target="consultantplus://offline/ref=1F098652DD05DA09D7A08633C4702765CD3DECDB18126FB5ED1B76DBC9542D4D0346FAB4A987C7Y5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76F16552C81F5F7C721099F19CAF406C8AE4C91D24FB78965BA1D702454FEB11FEA2D65E834CYEX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atedreporting.org/wp-content/uploads/2015/03/13-12-08-THE-INTERNATIONAL-IR-FRAMEWORK.docx_en-US_ru-RU.pdf" TargetMode="External"/><Relationship Id="rId20" Type="http://schemas.openxmlformats.org/officeDocument/2006/relationships/hyperlink" Target="http://www.fedsf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k-rus.ru/files/2019/mm-finans1et_2512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k-rus.ru/files/2020/fin-2et-mm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fin.ru/ru/document/?id_4=125979-kontseptualnye_osnovy_predstavleniya_" TargetMode="External"/><Relationship Id="rId19" Type="http://schemas.openxmlformats.org/officeDocument/2006/relationships/hyperlink" Target="http://www.fedsf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consultantplus://offline/ref=A4BB7E078818D4F32F408F214283D776300D1A1DB50E35FA90BE9CBD1Bq6y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A788-7DC6-4133-A03C-CFE2926C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24</cp:revision>
  <cp:lastPrinted>2020-06-26T12:11:00Z</cp:lastPrinted>
  <dcterms:created xsi:type="dcterms:W3CDTF">2020-09-24T16:49:00Z</dcterms:created>
  <dcterms:modified xsi:type="dcterms:W3CDTF">2020-12-25T08:47:00Z</dcterms:modified>
</cp:coreProperties>
</file>